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3D8D" w14:textId="3669C488" w:rsidR="00B5409E" w:rsidRPr="001E79D2" w:rsidRDefault="00B5409E" w:rsidP="00B5409E">
      <w:pPr>
        <w:spacing w:after="0" w:line="0" w:lineRule="atLeast"/>
        <w:jc w:val="center"/>
        <w:rPr>
          <w:rFonts w:ascii="Garamond" w:hAnsi="Garamond"/>
          <w:b/>
          <w:color w:val="218F43"/>
          <w:sz w:val="36"/>
          <w:szCs w:val="36"/>
        </w:rPr>
      </w:pPr>
      <w:r>
        <w:rPr>
          <w:noProof/>
        </w:rPr>
        <w:drawing>
          <wp:inline distT="0" distB="0" distL="0" distR="0" wp14:anchorId="12A555EC" wp14:editId="6BDE0145">
            <wp:extent cx="904875" cy="29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96" cy="30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9D2">
        <w:rPr>
          <w:rFonts w:ascii="Garamond" w:hAnsi="Garamond"/>
          <w:b/>
          <w:color w:val="218F43"/>
          <w:sz w:val="36"/>
          <w:szCs w:val="36"/>
        </w:rPr>
        <w:t>Chittagong Stock Exchange Limited</w:t>
      </w:r>
    </w:p>
    <w:p w14:paraId="0A730006" w14:textId="77777777" w:rsidR="00B5409E" w:rsidRDefault="00B5409E" w:rsidP="00B5409E">
      <w:pPr>
        <w:spacing w:after="0" w:line="0" w:lineRule="atLeast"/>
        <w:jc w:val="center"/>
        <w:rPr>
          <w:rFonts w:ascii="Garamond" w:hAnsi="Garamond"/>
          <w:b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78D4A9B0" w14:textId="416A0662" w:rsidR="00B5409E" w:rsidRPr="00D934E4" w:rsidRDefault="00B5409E" w:rsidP="00B5409E">
      <w:pPr>
        <w:spacing w:after="0" w:line="0" w:lineRule="atLeast"/>
        <w:jc w:val="center"/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934E4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Online Certificate Course on</w:t>
      </w:r>
      <w:r w:rsidR="00870A25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Securities Laws</w:t>
      </w:r>
      <w:r w:rsidRPr="00D934E4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870A25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of</w:t>
      </w:r>
      <w:r w:rsidR="0050427C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Bangladesh </w:t>
      </w:r>
      <w:r w:rsidRPr="00D934E4">
        <w:rPr>
          <w:rFonts w:ascii="Garamond" w:hAnsi="Garamond"/>
          <w:b/>
          <w:color w:val="00B050"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14:paraId="117EB808" w14:textId="10C4F677" w:rsidR="00B5409E" w:rsidRDefault="00B5409E" w:rsidP="00B5409E">
      <w:pPr>
        <w:spacing w:after="0" w:line="0" w:lineRule="atLeast"/>
        <w:jc w:val="center"/>
        <w:rPr>
          <w:rFonts w:ascii="Garamond" w:hAnsi="Garamond"/>
          <w:b/>
          <w:sz w:val="24"/>
          <w:szCs w:val="24"/>
        </w:rPr>
      </w:pPr>
      <w:r w:rsidRPr="00726A8F">
        <w:rPr>
          <w:rFonts w:ascii="Garamond" w:hAnsi="Garamond"/>
          <w:b/>
          <w:sz w:val="24"/>
          <w:szCs w:val="24"/>
        </w:rPr>
        <w:t xml:space="preserve">Help line: </w:t>
      </w:r>
      <w:r w:rsidR="00781F95">
        <w:rPr>
          <w:rFonts w:ascii="Garamond" w:hAnsi="Garamond"/>
          <w:b/>
          <w:sz w:val="24"/>
          <w:szCs w:val="24"/>
        </w:rPr>
        <w:t xml:space="preserve">Cell# </w:t>
      </w:r>
      <w:r>
        <w:rPr>
          <w:rFonts w:ascii="Garamond" w:hAnsi="Garamond"/>
          <w:b/>
          <w:sz w:val="24"/>
          <w:szCs w:val="24"/>
        </w:rPr>
        <w:t xml:space="preserve">01711812110, </w:t>
      </w:r>
      <w:r w:rsidR="00781F95">
        <w:rPr>
          <w:rFonts w:ascii="Garamond" w:hAnsi="Garamond"/>
          <w:b/>
          <w:sz w:val="24"/>
          <w:szCs w:val="24"/>
        </w:rPr>
        <w:t>Land Phone# 023333-20871-3, 023333-14632-3</w:t>
      </w:r>
      <w:r w:rsidRPr="00726A8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726A8F">
        <w:rPr>
          <w:rFonts w:ascii="Garamond" w:hAnsi="Garamond"/>
          <w:b/>
          <w:sz w:val="24"/>
          <w:szCs w:val="24"/>
        </w:rPr>
        <w:t>ext</w:t>
      </w:r>
      <w:proofErr w:type="spellEnd"/>
      <w:r w:rsidRPr="00726A8F">
        <w:rPr>
          <w:rFonts w:ascii="Garamond" w:hAnsi="Garamond"/>
          <w:b/>
          <w:sz w:val="24"/>
          <w:szCs w:val="24"/>
        </w:rPr>
        <w:t>: 117</w:t>
      </w:r>
    </w:p>
    <w:p w14:paraId="4566BE62" w14:textId="77777777" w:rsidR="00B5409E" w:rsidRDefault="00B5409E" w:rsidP="00B5409E">
      <w:pPr>
        <w:spacing w:after="0" w:line="0" w:lineRule="atLeast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E-mail: arif@cse.com.bd</w:t>
      </w:r>
      <w:r>
        <w:rPr>
          <w:rFonts w:ascii="Garamond" w:hAnsi="Garamond"/>
          <w:bCs/>
          <w:sz w:val="24"/>
          <w:szCs w:val="24"/>
        </w:rPr>
        <w:t>.</w:t>
      </w:r>
    </w:p>
    <w:p w14:paraId="11A28747" w14:textId="77777777" w:rsidR="00B5409E" w:rsidRDefault="00B5409E" w:rsidP="00B5409E">
      <w:pPr>
        <w:spacing w:after="0" w:line="0" w:lineRule="atLeast"/>
        <w:ind w:left="72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418"/>
        <w:gridCol w:w="7387"/>
      </w:tblGrid>
      <w:tr w:rsidR="00B5409E" w14:paraId="11095B3D" w14:textId="77777777" w:rsidTr="00870A25">
        <w:tc>
          <w:tcPr>
            <w:tcW w:w="2418" w:type="dxa"/>
          </w:tcPr>
          <w:p w14:paraId="232C61D2" w14:textId="77777777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</w:rPr>
              <w:t>Certificate:</w:t>
            </w:r>
          </w:p>
          <w:p w14:paraId="78B18383" w14:textId="77777777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</w:rPr>
              <w:t>Duration and time:</w:t>
            </w:r>
          </w:p>
          <w:p w14:paraId="4D0F2AB5" w14:textId="77777777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</w:rPr>
              <w:t>Date of Start:</w:t>
            </w:r>
          </w:p>
          <w:p w14:paraId="59E62DCE" w14:textId="77777777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</w:rPr>
              <w:t>Registration deadline:</w:t>
            </w:r>
          </w:p>
          <w:p w14:paraId="6E781FAF" w14:textId="77777777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/>
              </w:rPr>
            </w:pPr>
            <w:r w:rsidRPr="005E098B">
              <w:rPr>
                <w:rFonts w:ascii="Garamond" w:hAnsi="Garamond"/>
                <w:b/>
                <w:bCs/>
              </w:rPr>
              <w:t>Investment:</w:t>
            </w:r>
          </w:p>
          <w:p w14:paraId="11647357" w14:textId="77777777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/>
              </w:rPr>
            </w:pPr>
          </w:p>
          <w:p w14:paraId="55A98055" w14:textId="23FD523F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/>
                <w:bCs/>
              </w:rPr>
            </w:pPr>
            <w:r w:rsidRPr="005E098B">
              <w:rPr>
                <w:rFonts w:ascii="Garamond" w:hAnsi="Garamond"/>
                <w:b/>
              </w:rPr>
              <w:t>Mode of training:</w:t>
            </w:r>
            <w:r w:rsidRPr="005E098B">
              <w:rPr>
                <w:rFonts w:ascii="Garamond" w:hAnsi="Garamond"/>
                <w:bCs/>
              </w:rPr>
              <w:tab/>
            </w:r>
          </w:p>
        </w:tc>
        <w:tc>
          <w:tcPr>
            <w:tcW w:w="7387" w:type="dxa"/>
          </w:tcPr>
          <w:p w14:paraId="62AD31C4" w14:textId="77777777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>Certificate will be awarded to the Participants</w:t>
            </w:r>
          </w:p>
          <w:p w14:paraId="295B13D5" w14:textId="62BD0D38" w:rsidR="00B5409E" w:rsidRPr="005E098B" w:rsidRDefault="00870A25" w:rsidP="00510419">
            <w:pPr>
              <w:spacing w:after="0" w:line="0" w:lineRule="atLeas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February 22-24 &amp; 27</w:t>
            </w:r>
            <w:r w:rsidR="00BE164B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28 &amp; March1, 2022</w:t>
            </w:r>
            <w:r w:rsidR="00B5409E">
              <w:rPr>
                <w:rFonts w:ascii="Garamond" w:hAnsi="Garamond"/>
                <w:bCs/>
              </w:rPr>
              <w:t xml:space="preserve"> </w:t>
            </w:r>
            <w:r w:rsidR="00B5409E" w:rsidRPr="005E098B">
              <w:rPr>
                <w:rFonts w:ascii="Garamond" w:hAnsi="Garamond"/>
                <w:bCs/>
              </w:rPr>
              <w:t>(</w:t>
            </w:r>
            <w:r>
              <w:rPr>
                <w:rFonts w:ascii="Garamond" w:hAnsi="Garamond"/>
                <w:bCs/>
              </w:rPr>
              <w:t>12</w:t>
            </w:r>
            <w:r w:rsidR="00B5409E" w:rsidRPr="005E098B">
              <w:rPr>
                <w:rFonts w:ascii="Garamond" w:hAnsi="Garamond"/>
                <w:bCs/>
              </w:rPr>
              <w:t xml:space="preserve"> hours+) from 07:00 pm - </w:t>
            </w:r>
            <w:r w:rsidR="0066377F">
              <w:rPr>
                <w:rFonts w:ascii="Garamond" w:hAnsi="Garamond"/>
                <w:bCs/>
              </w:rPr>
              <w:t>0</w:t>
            </w:r>
            <w:r>
              <w:rPr>
                <w:rFonts w:ascii="Garamond" w:hAnsi="Garamond"/>
                <w:bCs/>
              </w:rPr>
              <w:t>9</w:t>
            </w:r>
            <w:r w:rsidR="00B5409E" w:rsidRPr="005E098B">
              <w:rPr>
                <w:rFonts w:ascii="Garamond" w:hAnsi="Garamond"/>
                <w:bCs/>
              </w:rPr>
              <w:t>:00 pm</w:t>
            </w:r>
          </w:p>
          <w:p w14:paraId="26148DE0" w14:textId="7F629364" w:rsidR="00B5409E" w:rsidRPr="008360C1" w:rsidRDefault="00870A25" w:rsidP="00510419">
            <w:pPr>
              <w:spacing w:after="0" w:line="0" w:lineRule="atLeast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>February 22</w:t>
            </w:r>
            <w:r w:rsidR="00B5409E" w:rsidRPr="008360C1">
              <w:rPr>
                <w:rFonts w:ascii="Garamond" w:hAnsi="Garamond"/>
                <w:b/>
                <w:bCs/>
                <w:color w:val="002060"/>
              </w:rPr>
              <w:t>, 202</w:t>
            </w:r>
            <w:r w:rsidR="00BE164B">
              <w:rPr>
                <w:rFonts w:ascii="Garamond" w:hAnsi="Garamond"/>
                <w:b/>
                <w:bCs/>
                <w:color w:val="002060"/>
              </w:rPr>
              <w:t>2</w:t>
            </w:r>
          </w:p>
          <w:p w14:paraId="07877FE5" w14:textId="736D0288" w:rsidR="00BE164B" w:rsidRDefault="00BE164B" w:rsidP="00510419">
            <w:pPr>
              <w:spacing w:after="0" w:line="0" w:lineRule="atLeas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February 20, 2022</w:t>
            </w:r>
          </w:p>
          <w:p w14:paraId="1F979720" w14:textId="621CD796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>BDT.</w:t>
            </w:r>
            <w:r>
              <w:rPr>
                <w:rFonts w:ascii="Garamond" w:hAnsi="Garamond"/>
                <w:bCs/>
              </w:rPr>
              <w:t>2</w:t>
            </w:r>
            <w:r w:rsidRPr="005E098B">
              <w:rPr>
                <w:rFonts w:ascii="Garamond" w:hAnsi="Garamond"/>
                <w:bCs/>
              </w:rPr>
              <w:t>,</w:t>
            </w:r>
            <w:r w:rsidR="0066377F">
              <w:rPr>
                <w:rFonts w:ascii="Garamond" w:hAnsi="Garamond"/>
                <w:bCs/>
              </w:rPr>
              <w:t>0</w:t>
            </w:r>
            <w:r w:rsidRPr="005E098B">
              <w:rPr>
                <w:rFonts w:ascii="Garamond" w:hAnsi="Garamond"/>
                <w:bCs/>
              </w:rPr>
              <w:t>00 per participant</w:t>
            </w:r>
          </w:p>
          <w:p w14:paraId="6F0AB7F9" w14:textId="33431C8F" w:rsidR="00B5409E" w:rsidRDefault="00B5409E" w:rsidP="00510419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 xml:space="preserve">For student BDT. </w:t>
            </w:r>
            <w:r>
              <w:rPr>
                <w:rFonts w:ascii="Garamond" w:hAnsi="Garamond"/>
                <w:bCs/>
              </w:rPr>
              <w:t>1</w:t>
            </w:r>
            <w:r w:rsidRPr="005E098B">
              <w:rPr>
                <w:rFonts w:ascii="Garamond" w:hAnsi="Garamond"/>
                <w:bCs/>
              </w:rPr>
              <w:t>,</w:t>
            </w:r>
            <w:r>
              <w:rPr>
                <w:rFonts w:ascii="Garamond" w:hAnsi="Garamond"/>
                <w:bCs/>
              </w:rPr>
              <w:t>5</w:t>
            </w:r>
            <w:r w:rsidRPr="005E098B">
              <w:rPr>
                <w:rFonts w:ascii="Garamond" w:hAnsi="Garamond"/>
                <w:bCs/>
              </w:rPr>
              <w:t>00</w:t>
            </w:r>
          </w:p>
          <w:p w14:paraId="30AB6627" w14:textId="77777777" w:rsidR="00732C9F" w:rsidRPr="005E098B" w:rsidRDefault="00732C9F" w:rsidP="00510419">
            <w:pPr>
              <w:spacing w:after="0" w:line="0" w:lineRule="atLeast"/>
              <w:rPr>
                <w:rFonts w:ascii="Garamond" w:hAnsi="Garamond"/>
                <w:bCs/>
              </w:rPr>
            </w:pPr>
          </w:p>
          <w:p w14:paraId="0940ABBE" w14:textId="77777777" w:rsidR="00B5409E" w:rsidRPr="005E098B" w:rsidRDefault="00B5409E" w:rsidP="00510419">
            <w:pPr>
              <w:spacing w:after="0" w:line="0" w:lineRule="atLeast"/>
              <w:rPr>
                <w:rFonts w:ascii="Garamond" w:hAnsi="Garamond"/>
                <w:bCs/>
              </w:rPr>
            </w:pPr>
            <w:r w:rsidRPr="005E098B">
              <w:rPr>
                <w:rFonts w:ascii="Garamond" w:hAnsi="Garamond"/>
                <w:bCs/>
              </w:rPr>
              <w:t xml:space="preserve">Through ‘Zoom” (Video Conferencing)  </w:t>
            </w:r>
          </w:p>
        </w:tc>
      </w:tr>
    </w:tbl>
    <w:p w14:paraId="2EFDE404" w14:textId="77777777" w:rsidR="00B5409E" w:rsidRDefault="00B5409E" w:rsidP="00B5409E">
      <w:pPr>
        <w:spacing w:after="0" w:line="0" w:lineRule="atLeas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</w:p>
    <w:p w14:paraId="1399082F" w14:textId="6C006DB6" w:rsidR="00B5409E" w:rsidRPr="00142374" w:rsidRDefault="00B5409E" w:rsidP="00B5409E">
      <w:pPr>
        <w:spacing w:after="0" w:line="0" w:lineRule="atLeast"/>
        <w:rPr>
          <w:rFonts w:ascii="Garamond" w:hAnsi="Garamond"/>
          <w:b/>
          <w:bCs/>
          <w:sz w:val="24"/>
          <w:szCs w:val="24"/>
        </w:rPr>
      </w:pPr>
      <w:r w:rsidRPr="00142374">
        <w:rPr>
          <w:rFonts w:ascii="Garamond" w:hAnsi="Garamond"/>
          <w:b/>
          <w:bCs/>
          <w:sz w:val="24"/>
          <w:szCs w:val="24"/>
        </w:rPr>
        <w:t>Objective</w:t>
      </w:r>
      <w:r w:rsidR="00781F95">
        <w:rPr>
          <w:rFonts w:ascii="Garamond" w:hAnsi="Garamond"/>
          <w:b/>
          <w:bCs/>
          <w:sz w:val="24"/>
          <w:szCs w:val="24"/>
        </w:rPr>
        <w:t xml:space="preserve"> and Benefits </w:t>
      </w:r>
      <w:r w:rsidRPr="00142374">
        <w:rPr>
          <w:rFonts w:ascii="Garamond" w:hAnsi="Garamond"/>
          <w:b/>
          <w:bCs/>
          <w:sz w:val="24"/>
          <w:szCs w:val="24"/>
        </w:rPr>
        <w:t>of the Training:</w:t>
      </w:r>
    </w:p>
    <w:p w14:paraId="42AF75DA" w14:textId="77777777" w:rsidR="0066377F" w:rsidRDefault="0066377F" w:rsidP="00B5409E">
      <w:pPr>
        <w:spacing w:after="0" w:line="0" w:lineRule="atLeast"/>
        <w:jc w:val="both"/>
        <w:rPr>
          <w:rFonts w:ascii="Garamond" w:hAnsi="Garamond" w:cs="Arial"/>
          <w:color w:val="333232"/>
          <w:sz w:val="24"/>
          <w:szCs w:val="24"/>
          <w:shd w:val="clear" w:color="auto" w:fill="FFFFFF"/>
        </w:rPr>
      </w:pPr>
    </w:p>
    <w:p w14:paraId="4F232B71" w14:textId="79AC6FDC" w:rsidR="0066377F" w:rsidRPr="003D56B7" w:rsidRDefault="0066377F" w:rsidP="0066377F">
      <w:pPr>
        <w:shd w:val="clear" w:color="auto" w:fill="FFFFFF"/>
        <w:spacing w:after="150" w:line="240" w:lineRule="auto"/>
        <w:jc w:val="both"/>
        <w:rPr>
          <w:rFonts w:ascii="Garamond" w:eastAsia="Times New Roman" w:hAnsi="Garamond" w:cs="Helvetica"/>
          <w:color w:val="444444"/>
          <w:sz w:val="24"/>
          <w:szCs w:val="24"/>
        </w:rPr>
      </w:pPr>
      <w:r w:rsidRPr="003D56B7">
        <w:rPr>
          <w:rFonts w:ascii="Garamond" w:eastAsia="Times New Roman" w:hAnsi="Garamond" w:cs="Helvetica"/>
          <w:color w:val="444444"/>
          <w:sz w:val="24"/>
          <w:szCs w:val="24"/>
        </w:rPr>
        <w:t xml:space="preserve">The program aims to provide participants with useful and keen insights on various aspects of the </w:t>
      </w:r>
      <w:r w:rsidR="00781F95" w:rsidRPr="003D56B7">
        <w:rPr>
          <w:rFonts w:ascii="Garamond" w:eastAsia="Times New Roman" w:hAnsi="Garamond" w:cs="Helvetica"/>
          <w:color w:val="444444"/>
          <w:sz w:val="24"/>
          <w:szCs w:val="24"/>
        </w:rPr>
        <w:t>Securities Laws of Bangladesh.</w:t>
      </w:r>
    </w:p>
    <w:p w14:paraId="13466858" w14:textId="6B083DEE" w:rsidR="0066377F" w:rsidRDefault="0066377F" w:rsidP="0066377F">
      <w:pPr>
        <w:spacing w:after="0" w:line="240" w:lineRule="auto"/>
        <w:rPr>
          <w:rFonts w:ascii="Garamond" w:eastAsia="Times New Roman" w:hAnsi="Garamond" w:cs="Helvetica"/>
          <w:b/>
          <w:bCs/>
          <w:color w:val="444444"/>
          <w:sz w:val="24"/>
          <w:szCs w:val="24"/>
          <w:shd w:val="clear" w:color="auto" w:fill="FFFFFF"/>
        </w:rPr>
      </w:pPr>
      <w:r w:rsidRPr="003D56B7">
        <w:rPr>
          <w:rFonts w:ascii="Garamond" w:eastAsia="Times New Roman" w:hAnsi="Garamond" w:cs="Helvetica"/>
          <w:b/>
          <w:bCs/>
          <w:color w:val="444444"/>
          <w:sz w:val="24"/>
          <w:szCs w:val="24"/>
          <w:shd w:val="clear" w:color="auto" w:fill="FFFFFF"/>
        </w:rPr>
        <w:t>The key objectives of this program are:</w:t>
      </w:r>
    </w:p>
    <w:p w14:paraId="363CC74D" w14:textId="77777777" w:rsidR="003D56B7" w:rsidRPr="003D56B7" w:rsidRDefault="003D56B7" w:rsidP="0066377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F1DA6BA" w14:textId="36F93EC6" w:rsidR="0066377F" w:rsidRPr="003D56B7" w:rsidRDefault="0066377F" w:rsidP="0066377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3D56B7">
        <w:rPr>
          <w:rFonts w:ascii="Garamond" w:eastAsia="Times New Roman" w:hAnsi="Garamond" w:cs="Times New Roman"/>
          <w:sz w:val="24"/>
          <w:szCs w:val="24"/>
        </w:rPr>
        <w:t>  To</w:t>
      </w:r>
      <w:proofErr w:type="gramEnd"/>
      <w:r w:rsidRPr="003D56B7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C0D81" w:rsidRPr="003D56B7">
        <w:rPr>
          <w:rFonts w:ascii="Garamond" w:eastAsia="Times New Roman" w:hAnsi="Garamond" w:cs="Times New Roman"/>
          <w:sz w:val="24"/>
          <w:szCs w:val="24"/>
        </w:rPr>
        <w:t xml:space="preserve">enable the participant to understand the </w:t>
      </w:r>
      <w:r w:rsidR="000B0A15" w:rsidRPr="003D56B7">
        <w:rPr>
          <w:rFonts w:ascii="Garamond" w:eastAsia="Times New Roman" w:hAnsi="Garamond" w:cs="Times New Roman"/>
          <w:sz w:val="24"/>
          <w:szCs w:val="24"/>
        </w:rPr>
        <w:t xml:space="preserve">critical securities market process, such as legal, due diligence and compliance.   </w:t>
      </w:r>
      <w:r w:rsidR="00EC0D81" w:rsidRPr="003D56B7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B5F5EE6" w14:textId="77777777" w:rsidR="007836E3" w:rsidRPr="003D56B7" w:rsidRDefault="0066377F" w:rsidP="0066377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3D56B7">
        <w:rPr>
          <w:rFonts w:ascii="Garamond" w:eastAsia="Times New Roman" w:hAnsi="Garamond" w:cs="Times New Roman"/>
          <w:sz w:val="24"/>
          <w:szCs w:val="24"/>
        </w:rPr>
        <w:t xml:space="preserve">  </w:t>
      </w:r>
      <w:r w:rsidR="000B0A15" w:rsidRPr="003D56B7">
        <w:rPr>
          <w:rFonts w:ascii="Garamond" w:eastAsia="Times New Roman" w:hAnsi="Garamond" w:cs="Times New Roman"/>
          <w:sz w:val="24"/>
          <w:szCs w:val="24"/>
        </w:rPr>
        <w:t>This</w:t>
      </w:r>
      <w:proofErr w:type="gramEnd"/>
      <w:r w:rsidR="000B0A15" w:rsidRPr="003D56B7">
        <w:rPr>
          <w:rFonts w:ascii="Garamond" w:eastAsia="Times New Roman" w:hAnsi="Garamond" w:cs="Times New Roman"/>
          <w:sz w:val="24"/>
          <w:szCs w:val="24"/>
        </w:rPr>
        <w:t xml:space="preserve"> course will help appreciate securities market inputs while those with a</w:t>
      </w:r>
      <w:r w:rsidR="007836E3" w:rsidRPr="003D56B7">
        <w:rPr>
          <w:rFonts w:ascii="Garamond" w:eastAsia="Times New Roman" w:hAnsi="Garamond" w:cs="Times New Roman"/>
          <w:sz w:val="24"/>
          <w:szCs w:val="24"/>
        </w:rPr>
        <w:t xml:space="preserve"> securities market background will better understand compliance and due diligence. </w:t>
      </w:r>
    </w:p>
    <w:p w14:paraId="1C6D4446" w14:textId="7D0B8BFB" w:rsidR="0066377F" w:rsidRPr="003D56B7" w:rsidRDefault="0066377F" w:rsidP="0066377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3D56B7">
        <w:rPr>
          <w:rFonts w:ascii="Garamond" w:eastAsia="Times New Roman" w:hAnsi="Garamond" w:cs="Times New Roman"/>
          <w:sz w:val="24"/>
          <w:szCs w:val="24"/>
        </w:rPr>
        <w:t>  T</w:t>
      </w:r>
      <w:r w:rsidR="007836E3" w:rsidRPr="003D56B7">
        <w:rPr>
          <w:rFonts w:ascii="Garamond" w:eastAsia="Times New Roman" w:hAnsi="Garamond" w:cs="Times New Roman"/>
          <w:sz w:val="24"/>
          <w:szCs w:val="24"/>
        </w:rPr>
        <w:t>he</w:t>
      </w:r>
      <w:proofErr w:type="gramEnd"/>
      <w:r w:rsidR="007836E3" w:rsidRPr="003D56B7">
        <w:rPr>
          <w:rFonts w:ascii="Garamond" w:eastAsia="Times New Roman" w:hAnsi="Garamond" w:cs="Times New Roman"/>
          <w:sz w:val="24"/>
          <w:szCs w:val="24"/>
        </w:rPr>
        <w:t xml:space="preserve"> program is intended for those who want to begin their careers in legal and compliance area in securities market.</w:t>
      </w:r>
    </w:p>
    <w:p w14:paraId="6CD554CD" w14:textId="451C2312" w:rsidR="0066377F" w:rsidRPr="003D56B7" w:rsidRDefault="0066377F" w:rsidP="0066377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BCDB5F" w14:textId="77777777" w:rsidR="00B5409E" w:rsidRPr="005E098B" w:rsidRDefault="00B5409E" w:rsidP="00B5409E">
      <w:pPr>
        <w:spacing w:after="0" w:line="0" w:lineRule="atLeast"/>
        <w:jc w:val="both"/>
        <w:rPr>
          <w:rFonts w:ascii="Garamond" w:hAnsi="Garamond"/>
          <w:b/>
          <w:bCs/>
          <w:sz w:val="24"/>
          <w:szCs w:val="24"/>
        </w:rPr>
      </w:pPr>
      <w:r w:rsidRPr="005E098B">
        <w:rPr>
          <w:rFonts w:ascii="Garamond" w:hAnsi="Garamond"/>
          <w:b/>
          <w:bCs/>
          <w:sz w:val="24"/>
          <w:szCs w:val="24"/>
        </w:rPr>
        <w:t>Target Audience:</w:t>
      </w:r>
    </w:p>
    <w:p w14:paraId="03A39FA2" w14:textId="77777777" w:rsidR="00C55027" w:rsidRDefault="00C55027" w:rsidP="00B5409E">
      <w:pPr>
        <w:spacing w:after="0" w:line="0" w:lineRule="atLeast"/>
        <w:jc w:val="both"/>
        <w:rPr>
          <w:rFonts w:ascii="Garamond" w:hAnsi="Garamond" w:cs="Helvetica"/>
          <w:color w:val="444444"/>
          <w:sz w:val="24"/>
          <w:szCs w:val="24"/>
          <w:shd w:val="clear" w:color="auto" w:fill="FFFFFF"/>
        </w:rPr>
      </w:pPr>
    </w:p>
    <w:p w14:paraId="7B96B2D9" w14:textId="38DC66DD" w:rsidR="00682E1B" w:rsidRDefault="00B5409E" w:rsidP="00682E1B">
      <w:pPr>
        <w:pStyle w:val="ListParagraph"/>
        <w:numPr>
          <w:ilvl w:val="0"/>
          <w:numId w:val="14"/>
        </w:numPr>
        <w:spacing w:after="0" w:line="0" w:lineRule="atLeast"/>
        <w:jc w:val="both"/>
        <w:rPr>
          <w:rFonts w:ascii="Garamond" w:hAnsi="Garamond" w:cs="Helvetica"/>
          <w:color w:val="444444"/>
          <w:sz w:val="24"/>
          <w:szCs w:val="24"/>
          <w:shd w:val="clear" w:color="auto" w:fill="FFFFFF"/>
        </w:rPr>
      </w:pPr>
      <w:r w:rsidRPr="00682E1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 xml:space="preserve">Stock Brokers, </w:t>
      </w:r>
      <w:r w:rsidR="009D3E34" w:rsidRPr="00682E1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 xml:space="preserve">Asset Management Companies of Mutual Funds, Depository participant, Custodians, Regulatory Bodies, Law Firms, Investors, </w:t>
      </w:r>
      <w:r w:rsidRPr="00682E1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>Investment Consultants, Portfolio Managers</w:t>
      </w:r>
      <w:r w:rsidR="00C55027" w:rsidRPr="00682E1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 xml:space="preserve"> and Investment Advisors</w:t>
      </w:r>
      <w:r w:rsidRPr="00682E1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>, Mutual Fund</w:t>
      </w:r>
      <w:r w:rsidR="0066377F" w:rsidRPr="00682E1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 xml:space="preserve"> Agent</w:t>
      </w:r>
      <w:r w:rsidRPr="00682E1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>, Investors, Corporate, Broking Houses, Financial Institutions, Fund Managers, Investment Bankers, Consultants, promising analysts</w:t>
      </w:r>
      <w:r w:rsidR="00682E1B" w:rsidRPr="00682E1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>.</w:t>
      </w:r>
    </w:p>
    <w:p w14:paraId="19E9F2DA" w14:textId="3F164B85" w:rsidR="00682E1B" w:rsidRDefault="00682E1B" w:rsidP="00682E1B">
      <w:pPr>
        <w:pStyle w:val="ListParagraph"/>
        <w:numPr>
          <w:ilvl w:val="0"/>
          <w:numId w:val="14"/>
        </w:numPr>
        <w:spacing w:after="0" w:line="0" w:lineRule="atLeast"/>
        <w:jc w:val="both"/>
        <w:rPr>
          <w:rFonts w:ascii="Garamond" w:hAnsi="Garamond" w:cs="Helvetica"/>
          <w:color w:val="444444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>Working Employees in the financial markets area facing exposure to Securities Laws.</w:t>
      </w:r>
    </w:p>
    <w:p w14:paraId="7A6305AC" w14:textId="6C8D802F" w:rsidR="00682E1B" w:rsidRPr="00682E1B" w:rsidRDefault="00682E1B" w:rsidP="00682E1B">
      <w:pPr>
        <w:pStyle w:val="ListParagraph"/>
        <w:numPr>
          <w:ilvl w:val="0"/>
          <w:numId w:val="14"/>
        </w:numPr>
        <w:spacing w:after="0" w:line="0" w:lineRule="atLeast"/>
        <w:jc w:val="both"/>
        <w:rPr>
          <w:rFonts w:ascii="Garamond" w:hAnsi="Garamond" w:cs="Helvetica"/>
          <w:color w:val="444444"/>
          <w:sz w:val="24"/>
          <w:szCs w:val="24"/>
          <w:shd w:val="clear" w:color="auto" w:fill="FFFFFF"/>
        </w:rPr>
      </w:pPr>
      <w:r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 xml:space="preserve"> Working Employees in the legal and compliance area facing exposure to the technicalities and Latest developments </w:t>
      </w:r>
      <w:r w:rsidR="00EC0D81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>in the Securities Markets.</w:t>
      </w:r>
      <w:r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 xml:space="preserve"> </w:t>
      </w:r>
    </w:p>
    <w:p w14:paraId="672D18EA" w14:textId="7366B455" w:rsidR="00B5409E" w:rsidRPr="00682E1B" w:rsidRDefault="00B5409E" w:rsidP="00682E1B">
      <w:pPr>
        <w:pStyle w:val="ListParagraph"/>
        <w:numPr>
          <w:ilvl w:val="0"/>
          <w:numId w:val="14"/>
        </w:num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682E1B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>Students</w:t>
      </w:r>
      <w:r w:rsidR="00EC0D81">
        <w:rPr>
          <w:rFonts w:ascii="Garamond" w:hAnsi="Garamond" w:cs="Helvetica"/>
          <w:color w:val="444444"/>
          <w:sz w:val="24"/>
          <w:szCs w:val="24"/>
          <w:shd w:val="clear" w:color="auto" w:fill="FFFFFF"/>
        </w:rPr>
        <w:t xml:space="preserve"> seeking to supplement their knowledge in securities laws or the securities or securities market area.  </w:t>
      </w:r>
      <w:r w:rsidRPr="00682E1B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4821C131" w14:textId="77777777" w:rsidR="00B5409E" w:rsidRPr="005F5665" w:rsidRDefault="00B5409E" w:rsidP="00B5409E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</w:p>
    <w:p w14:paraId="1D5DA6D9" w14:textId="77777777" w:rsidR="00223AE5" w:rsidRDefault="00223AE5" w:rsidP="00223AE5">
      <w:pPr>
        <w:spacing w:after="0" w:line="0" w:lineRule="atLeast"/>
        <w:jc w:val="both"/>
        <w:rPr>
          <w:rFonts w:ascii="Garamond" w:hAnsi="Garamond"/>
          <w:b/>
          <w:bCs/>
          <w:sz w:val="24"/>
          <w:szCs w:val="24"/>
        </w:rPr>
      </w:pPr>
      <w:r w:rsidRPr="005E098B">
        <w:rPr>
          <w:rFonts w:ascii="Garamond" w:hAnsi="Garamond"/>
          <w:b/>
          <w:bCs/>
          <w:sz w:val="24"/>
          <w:szCs w:val="24"/>
        </w:rPr>
        <w:t xml:space="preserve">Facilitators: </w:t>
      </w:r>
    </w:p>
    <w:p w14:paraId="2CD6A6D4" w14:textId="77777777" w:rsidR="00223AE5" w:rsidRPr="005E098B" w:rsidRDefault="00223AE5" w:rsidP="00223AE5">
      <w:pPr>
        <w:spacing w:after="0" w:line="0" w:lineRule="atLeast"/>
        <w:jc w:val="both"/>
        <w:rPr>
          <w:rFonts w:ascii="Garamond" w:hAnsi="Garamond"/>
          <w:b/>
          <w:bCs/>
          <w:sz w:val="24"/>
          <w:szCs w:val="24"/>
        </w:rPr>
      </w:pPr>
      <w:r w:rsidRPr="005E098B">
        <w:rPr>
          <w:rFonts w:ascii="Garamond" w:hAnsi="Garamond"/>
          <w:b/>
          <w:bCs/>
          <w:sz w:val="24"/>
          <w:szCs w:val="24"/>
        </w:rPr>
        <w:t xml:space="preserve"> </w:t>
      </w:r>
    </w:p>
    <w:p w14:paraId="41CADE3E" w14:textId="26A84671" w:rsidR="00223AE5" w:rsidRPr="001D1E88" w:rsidRDefault="00223AE5" w:rsidP="00223AE5">
      <w:pPr>
        <w:spacing w:after="0" w:line="0" w:lineRule="atLeast"/>
        <w:jc w:val="both"/>
        <w:rPr>
          <w:rFonts w:ascii="Garamond" w:hAnsi="Garamond"/>
          <w:sz w:val="24"/>
          <w:szCs w:val="24"/>
        </w:rPr>
      </w:pPr>
      <w:r w:rsidRPr="005E098B">
        <w:rPr>
          <w:rFonts w:ascii="Garamond" w:hAnsi="Garamond"/>
          <w:sz w:val="24"/>
          <w:szCs w:val="24"/>
        </w:rPr>
        <w:t>The training will be delivered by the high-class professionals and long experienced Stock Market experts.  Those facilitators are efficiently dealing with stock market business as well as strong background in Bangladesh Securities Market Rules and Regulations</w:t>
      </w:r>
      <w:r w:rsidRPr="001D1E88">
        <w:rPr>
          <w:rFonts w:ascii="Garamond" w:hAnsi="Garamond"/>
          <w:sz w:val="24"/>
          <w:szCs w:val="24"/>
        </w:rPr>
        <w:t>.</w:t>
      </w:r>
      <w:r w:rsidR="0090061F" w:rsidRPr="001D1E88">
        <w:rPr>
          <w:rFonts w:ascii="Garamond" w:hAnsi="Garamond"/>
          <w:sz w:val="24"/>
          <w:szCs w:val="24"/>
        </w:rPr>
        <w:t xml:space="preserve"> This time the training will be provided by </w:t>
      </w:r>
      <w:r w:rsidR="0090061F" w:rsidRPr="001D1E88">
        <w:rPr>
          <w:rFonts w:ascii="Garamond" w:hAnsi="Garamond"/>
          <w:b/>
          <w:bCs/>
          <w:sz w:val="24"/>
          <w:szCs w:val="24"/>
        </w:rPr>
        <w:t xml:space="preserve">BSEC </w:t>
      </w:r>
      <w:r w:rsidR="001D1E88" w:rsidRPr="001D1E88">
        <w:rPr>
          <w:rFonts w:ascii="Garamond" w:hAnsi="Garamond"/>
          <w:b/>
          <w:bCs/>
          <w:sz w:val="24"/>
          <w:szCs w:val="24"/>
        </w:rPr>
        <w:t>expert</w:t>
      </w:r>
      <w:r w:rsidR="001D1E88">
        <w:rPr>
          <w:rFonts w:ascii="Garamond" w:hAnsi="Garamond"/>
          <w:sz w:val="24"/>
          <w:szCs w:val="24"/>
        </w:rPr>
        <w:t xml:space="preserve"> </w:t>
      </w:r>
      <w:r w:rsidR="0090061F" w:rsidRPr="001D1E88">
        <w:rPr>
          <w:rFonts w:ascii="Garamond" w:hAnsi="Garamond"/>
          <w:sz w:val="24"/>
          <w:szCs w:val="24"/>
        </w:rPr>
        <w:t xml:space="preserve">and high experience Capital Market Trainer, preferably </w:t>
      </w:r>
      <w:r w:rsidR="00781F95">
        <w:rPr>
          <w:rFonts w:ascii="Garamond" w:hAnsi="Garamond"/>
          <w:b/>
          <w:bCs/>
          <w:sz w:val="24"/>
          <w:szCs w:val="24"/>
        </w:rPr>
        <w:t xml:space="preserve">Securities laws </w:t>
      </w:r>
      <w:r w:rsidR="0090061F" w:rsidRPr="001D1E88">
        <w:rPr>
          <w:rFonts w:ascii="Garamond" w:hAnsi="Garamond"/>
          <w:b/>
          <w:bCs/>
          <w:sz w:val="24"/>
          <w:szCs w:val="24"/>
        </w:rPr>
        <w:t>expert.</w:t>
      </w:r>
      <w:r w:rsidR="0090061F" w:rsidRPr="001D1E88">
        <w:rPr>
          <w:rFonts w:ascii="Garamond" w:hAnsi="Garamond"/>
          <w:sz w:val="24"/>
          <w:szCs w:val="24"/>
        </w:rPr>
        <w:t xml:space="preserve">     </w:t>
      </w:r>
      <w:r w:rsidRPr="001D1E88">
        <w:rPr>
          <w:rFonts w:ascii="Garamond" w:hAnsi="Garamond"/>
          <w:sz w:val="24"/>
          <w:szCs w:val="24"/>
        </w:rPr>
        <w:t xml:space="preserve">     </w:t>
      </w:r>
    </w:p>
    <w:p w14:paraId="18DD5D6B" w14:textId="77777777" w:rsidR="00223AE5" w:rsidRDefault="00223AE5" w:rsidP="00B5409E">
      <w:pPr>
        <w:jc w:val="center"/>
        <w:rPr>
          <w:rFonts w:ascii="Garamond" w:hAnsi="Garamond" w:cs="Arial"/>
          <w:color w:val="333232"/>
          <w:sz w:val="24"/>
          <w:szCs w:val="24"/>
        </w:rPr>
      </w:pPr>
    </w:p>
    <w:p w14:paraId="11451DD9" w14:textId="77777777" w:rsidR="00223AE5" w:rsidRDefault="00223AE5" w:rsidP="00B5409E">
      <w:pPr>
        <w:jc w:val="center"/>
        <w:rPr>
          <w:rFonts w:ascii="Garamond" w:hAnsi="Garamond" w:cs="Arial"/>
          <w:color w:val="333232"/>
          <w:sz w:val="24"/>
          <w:szCs w:val="24"/>
        </w:rPr>
      </w:pPr>
    </w:p>
    <w:p w14:paraId="114545F0" w14:textId="721BB71A" w:rsidR="00B5409E" w:rsidRDefault="00B5409E" w:rsidP="00B5409E">
      <w:pPr>
        <w:jc w:val="center"/>
        <w:rPr>
          <w:rFonts w:ascii="Garamond" w:hAnsi="Garamond" w:cs="Arial"/>
          <w:color w:val="333232"/>
          <w:sz w:val="24"/>
          <w:szCs w:val="24"/>
        </w:rPr>
      </w:pPr>
      <w:r>
        <w:rPr>
          <w:rFonts w:ascii="Garamond" w:hAnsi="Garamond" w:cs="Arial"/>
          <w:color w:val="333232"/>
          <w:sz w:val="24"/>
          <w:szCs w:val="24"/>
        </w:rPr>
        <w:t xml:space="preserve">Page 1 of </w:t>
      </w:r>
      <w:r w:rsidR="00223AE5">
        <w:rPr>
          <w:rFonts w:ascii="Garamond" w:hAnsi="Garamond" w:cs="Arial"/>
          <w:color w:val="333232"/>
          <w:sz w:val="24"/>
          <w:szCs w:val="24"/>
        </w:rPr>
        <w:t>2</w:t>
      </w:r>
    </w:p>
    <w:p w14:paraId="2C4C4A8C" w14:textId="77777777" w:rsidR="001D1E88" w:rsidRDefault="001D1E88" w:rsidP="00B5409E">
      <w:pPr>
        <w:jc w:val="center"/>
        <w:rPr>
          <w:rFonts w:ascii="Garamond" w:hAnsi="Garamond" w:cs="Arial"/>
          <w:color w:val="333232"/>
          <w:sz w:val="24"/>
          <w:szCs w:val="24"/>
        </w:rPr>
      </w:pPr>
    </w:p>
    <w:p w14:paraId="16CF49AA" w14:textId="5D7ACDC8" w:rsidR="00223AE5" w:rsidRDefault="00C321EC" w:rsidP="00223AE5">
      <w:pPr>
        <w:spacing w:after="0" w:line="0" w:lineRule="atLeast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</w:t>
      </w:r>
      <w:r w:rsidR="0050427C">
        <w:rPr>
          <w:rFonts w:ascii="Garamond" w:hAnsi="Garamond"/>
          <w:b/>
          <w:bCs/>
          <w:sz w:val="28"/>
          <w:szCs w:val="28"/>
        </w:rPr>
        <w:t>e</w:t>
      </w:r>
      <w:r>
        <w:rPr>
          <w:rFonts w:ascii="Garamond" w:hAnsi="Garamond"/>
          <w:b/>
          <w:bCs/>
          <w:sz w:val="28"/>
          <w:szCs w:val="28"/>
        </w:rPr>
        <w:t>curities Laws of</w:t>
      </w:r>
      <w:r w:rsidR="0050427C">
        <w:rPr>
          <w:rFonts w:ascii="Garamond" w:hAnsi="Garamond"/>
          <w:b/>
          <w:bCs/>
          <w:sz w:val="28"/>
          <w:szCs w:val="28"/>
        </w:rPr>
        <w:t xml:space="preserve"> Bangladesh </w:t>
      </w:r>
      <w:r w:rsidR="00223AE5" w:rsidRPr="00D1621F">
        <w:rPr>
          <w:rFonts w:ascii="Garamond" w:hAnsi="Garamond"/>
          <w:b/>
          <w:bCs/>
          <w:sz w:val="28"/>
          <w:szCs w:val="28"/>
        </w:rPr>
        <w:t xml:space="preserve"> </w:t>
      </w:r>
    </w:p>
    <w:p w14:paraId="64582B1C" w14:textId="77777777" w:rsidR="00223AE5" w:rsidRDefault="00223AE5" w:rsidP="00223AE5">
      <w:pPr>
        <w:spacing w:after="0" w:line="0" w:lineRule="atLeast"/>
        <w:jc w:val="center"/>
        <w:rPr>
          <w:rFonts w:ascii="Garamond" w:hAnsi="Garamond"/>
          <w:b/>
          <w:bCs/>
          <w:sz w:val="28"/>
          <w:szCs w:val="28"/>
        </w:rPr>
      </w:pPr>
    </w:p>
    <w:p w14:paraId="42606E59" w14:textId="5822E30F" w:rsidR="00223AE5" w:rsidRPr="00D1621F" w:rsidRDefault="00223AE5" w:rsidP="00223AE5">
      <w:p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 xml:space="preserve">Module 1. </w:t>
      </w:r>
    </w:p>
    <w:p w14:paraId="37B0270A" w14:textId="3176D238" w:rsidR="00223AE5" w:rsidRPr="00D1621F" w:rsidRDefault="00C321EC" w:rsidP="00223AE5">
      <w:pPr>
        <w:pStyle w:val="ListParagraph"/>
        <w:numPr>
          <w:ilvl w:val="0"/>
          <w:numId w:val="9"/>
        </w:numPr>
        <w:spacing w:after="0" w:line="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Bangladesh Securities Exchange Commission Act, 1993 </w:t>
      </w:r>
      <w:r w:rsidR="00223AE5" w:rsidRPr="00D1621F">
        <w:rPr>
          <w:rFonts w:ascii="Garamond" w:hAnsi="Garamond"/>
          <w:sz w:val="24"/>
          <w:szCs w:val="24"/>
        </w:rPr>
        <w:t xml:space="preserve"> </w:t>
      </w:r>
    </w:p>
    <w:p w14:paraId="7BD66DFD" w14:textId="40A37D8C" w:rsidR="00223AE5" w:rsidRPr="00D1621F" w:rsidRDefault="00C321EC" w:rsidP="00223AE5">
      <w:pPr>
        <w:pStyle w:val="ListParagraph"/>
        <w:numPr>
          <w:ilvl w:val="0"/>
          <w:numId w:val="9"/>
        </w:numPr>
        <w:spacing w:after="0" w:line="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Securities and Exchange Ordinance, 1969 </w:t>
      </w:r>
      <w:r w:rsidR="00223AE5" w:rsidRPr="00D1621F">
        <w:rPr>
          <w:rFonts w:ascii="Garamond" w:hAnsi="Garamond"/>
          <w:sz w:val="24"/>
          <w:szCs w:val="24"/>
        </w:rPr>
        <w:t xml:space="preserve"> </w:t>
      </w:r>
    </w:p>
    <w:p w14:paraId="69D2CDD4" w14:textId="77777777" w:rsidR="00223AE5" w:rsidRPr="00D1621F" w:rsidRDefault="00223AE5" w:rsidP="00223AE5">
      <w:pPr>
        <w:spacing w:after="0" w:line="0" w:lineRule="atLeast"/>
        <w:rPr>
          <w:rFonts w:ascii="Garamond" w:hAnsi="Garamond"/>
          <w:sz w:val="24"/>
          <w:szCs w:val="24"/>
        </w:rPr>
      </w:pPr>
    </w:p>
    <w:p w14:paraId="572F1CF3" w14:textId="6C333FEB" w:rsidR="00223AE5" w:rsidRPr="00D1621F" w:rsidRDefault="00223AE5" w:rsidP="00223AE5">
      <w:p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 xml:space="preserve">Module 2. </w:t>
      </w:r>
    </w:p>
    <w:p w14:paraId="6C841763" w14:textId="254F8F88" w:rsidR="00223AE5" w:rsidRPr="00D1621F" w:rsidRDefault="00C321EC" w:rsidP="00223AE5">
      <w:pPr>
        <w:pStyle w:val="ListParagraph"/>
        <w:numPr>
          <w:ilvl w:val="0"/>
          <w:numId w:val="10"/>
        </w:num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>Securities and Exchange Commission (</w:t>
      </w:r>
      <w:r w:rsidR="002B773B">
        <w:rPr>
          <w:rFonts w:ascii="Garamond" w:hAnsi="Garamond"/>
          <w:sz w:val="24"/>
          <w:szCs w:val="24"/>
        </w:rPr>
        <w:t>Stock Dealer, Stock Broker and Authorize Representatives</w:t>
      </w:r>
      <w:r w:rsidRPr="00D1621F">
        <w:rPr>
          <w:rFonts w:ascii="Garamond" w:hAnsi="Garamond"/>
          <w:sz w:val="24"/>
          <w:szCs w:val="24"/>
        </w:rPr>
        <w:t>) Rules, 200</w:t>
      </w:r>
      <w:r w:rsidR="002B773B">
        <w:rPr>
          <w:rFonts w:ascii="Garamond" w:hAnsi="Garamond"/>
          <w:sz w:val="24"/>
          <w:szCs w:val="24"/>
        </w:rPr>
        <w:t>0</w:t>
      </w:r>
    </w:p>
    <w:p w14:paraId="0F113D6B" w14:textId="77777777" w:rsidR="002B773B" w:rsidRDefault="002B773B" w:rsidP="00223AE5">
      <w:pPr>
        <w:spacing w:after="0" w:line="0" w:lineRule="atLeast"/>
        <w:rPr>
          <w:rFonts w:ascii="Garamond" w:hAnsi="Garamond"/>
          <w:sz w:val="24"/>
          <w:szCs w:val="24"/>
        </w:rPr>
      </w:pPr>
    </w:p>
    <w:p w14:paraId="10AE7FBB" w14:textId="41705F9F" w:rsidR="00223AE5" w:rsidRPr="00D1621F" w:rsidRDefault="00223AE5" w:rsidP="00223AE5">
      <w:p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 xml:space="preserve">Module 3. </w:t>
      </w:r>
    </w:p>
    <w:p w14:paraId="3A42F034" w14:textId="77777777" w:rsidR="002B773B" w:rsidRPr="00D1621F" w:rsidRDefault="002B773B" w:rsidP="002B773B">
      <w:pPr>
        <w:pStyle w:val="ListParagraph"/>
        <w:numPr>
          <w:ilvl w:val="0"/>
          <w:numId w:val="10"/>
        </w:num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 xml:space="preserve">Securities and Exchange Commission (Mutual Fund) Rules, 2001 </w:t>
      </w:r>
    </w:p>
    <w:p w14:paraId="3505BDCD" w14:textId="77777777" w:rsidR="002B773B" w:rsidRPr="00D1621F" w:rsidRDefault="002B773B" w:rsidP="002B773B">
      <w:pPr>
        <w:pStyle w:val="ListParagraph"/>
        <w:numPr>
          <w:ilvl w:val="0"/>
          <w:numId w:val="10"/>
        </w:num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>Securities and Exchange Commission (</w:t>
      </w:r>
      <w:r>
        <w:rPr>
          <w:rFonts w:ascii="Garamond" w:hAnsi="Garamond"/>
          <w:sz w:val="24"/>
          <w:szCs w:val="24"/>
        </w:rPr>
        <w:t>Merchant Bankers and Portfolio Manager) Rules, 1996</w:t>
      </w:r>
    </w:p>
    <w:p w14:paraId="1DBBCDFA" w14:textId="77777777" w:rsidR="00223AE5" w:rsidRPr="00D1621F" w:rsidRDefault="00223AE5" w:rsidP="00223AE5">
      <w:pPr>
        <w:spacing w:after="0" w:line="0" w:lineRule="atLeast"/>
        <w:rPr>
          <w:rFonts w:ascii="Garamond" w:hAnsi="Garamond"/>
          <w:sz w:val="24"/>
          <w:szCs w:val="24"/>
        </w:rPr>
      </w:pPr>
    </w:p>
    <w:p w14:paraId="48D9A98D" w14:textId="59127ECC" w:rsidR="00223AE5" w:rsidRPr="00D1621F" w:rsidRDefault="00223AE5" w:rsidP="00223AE5">
      <w:p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 xml:space="preserve">Module 4.  </w:t>
      </w:r>
    </w:p>
    <w:p w14:paraId="39D505A9" w14:textId="42FA7FC6" w:rsidR="00B04281" w:rsidRDefault="002B773B" w:rsidP="002B773B">
      <w:pPr>
        <w:pStyle w:val="ListParagraph"/>
        <w:numPr>
          <w:ilvl w:val="0"/>
          <w:numId w:val="12"/>
        </w:num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>Securities and Exchange Commission (</w:t>
      </w:r>
      <w:r>
        <w:rPr>
          <w:rFonts w:ascii="Garamond" w:hAnsi="Garamond"/>
          <w:sz w:val="24"/>
          <w:szCs w:val="24"/>
        </w:rPr>
        <w:t>Prohibition of In</w:t>
      </w:r>
      <w:r w:rsidR="00B04281">
        <w:rPr>
          <w:rFonts w:ascii="Garamond" w:hAnsi="Garamond"/>
          <w:sz w:val="24"/>
          <w:szCs w:val="24"/>
        </w:rPr>
        <w:t>sider Tra</w:t>
      </w:r>
      <w:r w:rsidR="00736D1A">
        <w:rPr>
          <w:rFonts w:ascii="Garamond" w:hAnsi="Garamond"/>
          <w:sz w:val="24"/>
          <w:szCs w:val="24"/>
        </w:rPr>
        <w:t>d</w:t>
      </w:r>
      <w:r w:rsidR="00B04281">
        <w:rPr>
          <w:rFonts w:ascii="Garamond" w:hAnsi="Garamond"/>
          <w:sz w:val="24"/>
          <w:szCs w:val="24"/>
        </w:rPr>
        <w:t>ing</w:t>
      </w:r>
      <w:r w:rsidRPr="00D1621F">
        <w:rPr>
          <w:rFonts w:ascii="Garamond" w:hAnsi="Garamond"/>
          <w:sz w:val="24"/>
          <w:szCs w:val="24"/>
        </w:rPr>
        <w:t xml:space="preserve">) Rules, </w:t>
      </w:r>
      <w:r w:rsidR="00B04281">
        <w:rPr>
          <w:rFonts w:ascii="Garamond" w:hAnsi="Garamond"/>
          <w:sz w:val="24"/>
          <w:szCs w:val="24"/>
        </w:rPr>
        <w:t>1996</w:t>
      </w:r>
    </w:p>
    <w:p w14:paraId="1A15452E" w14:textId="1A1F7602" w:rsidR="002B773B" w:rsidRPr="00D1621F" w:rsidRDefault="00B04281" w:rsidP="002B773B">
      <w:pPr>
        <w:pStyle w:val="ListParagraph"/>
        <w:numPr>
          <w:ilvl w:val="0"/>
          <w:numId w:val="12"/>
        </w:numPr>
        <w:spacing w:after="0" w:line="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Margin Rules, 1999 </w:t>
      </w:r>
    </w:p>
    <w:p w14:paraId="147865C6" w14:textId="441EA5F5" w:rsidR="00223AE5" w:rsidRPr="002B773B" w:rsidRDefault="00223AE5" w:rsidP="002B773B">
      <w:pPr>
        <w:spacing w:after="0" w:line="0" w:lineRule="atLeast"/>
        <w:ind w:left="525"/>
        <w:rPr>
          <w:rFonts w:ascii="Garamond" w:hAnsi="Garamond"/>
          <w:sz w:val="24"/>
          <w:szCs w:val="24"/>
        </w:rPr>
      </w:pPr>
    </w:p>
    <w:p w14:paraId="158202A2" w14:textId="60A6B389" w:rsidR="00223AE5" w:rsidRPr="00D1621F" w:rsidRDefault="00223AE5" w:rsidP="00223AE5">
      <w:p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 xml:space="preserve">Module 5.  </w:t>
      </w:r>
    </w:p>
    <w:p w14:paraId="552E3E47" w14:textId="12A1C653" w:rsidR="00223AE5" w:rsidRPr="00D1621F" w:rsidRDefault="00B04281" w:rsidP="00223AE5">
      <w:pPr>
        <w:pStyle w:val="ListParagraph"/>
        <w:numPr>
          <w:ilvl w:val="0"/>
          <w:numId w:val="13"/>
        </w:numPr>
        <w:spacing w:after="0" w:line="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Depository Act, 1999 </w:t>
      </w:r>
      <w:r w:rsidR="00223AE5" w:rsidRPr="00D1621F">
        <w:rPr>
          <w:rFonts w:ascii="Garamond" w:hAnsi="Garamond"/>
          <w:sz w:val="24"/>
          <w:szCs w:val="24"/>
        </w:rPr>
        <w:t xml:space="preserve"> </w:t>
      </w:r>
    </w:p>
    <w:p w14:paraId="6A17FE03" w14:textId="57076CBB" w:rsidR="00223AE5" w:rsidRPr="00D1621F" w:rsidRDefault="00B04281" w:rsidP="00223AE5">
      <w:pPr>
        <w:pStyle w:val="ListParagraph"/>
        <w:numPr>
          <w:ilvl w:val="0"/>
          <w:numId w:val="13"/>
        </w:numPr>
        <w:spacing w:after="0" w:line="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Depository </w:t>
      </w:r>
      <w:r>
        <w:rPr>
          <w:rFonts w:ascii="Garamond" w:hAnsi="Garamond"/>
          <w:sz w:val="24"/>
          <w:szCs w:val="24"/>
        </w:rPr>
        <w:t>Regulations, 2000</w:t>
      </w:r>
      <w:r w:rsidR="00223AE5" w:rsidRPr="00D1621F">
        <w:rPr>
          <w:rFonts w:ascii="Garamond" w:hAnsi="Garamond"/>
          <w:sz w:val="24"/>
          <w:szCs w:val="24"/>
        </w:rPr>
        <w:t xml:space="preserve"> </w:t>
      </w:r>
    </w:p>
    <w:p w14:paraId="0078011E" w14:textId="5F278656" w:rsidR="00B04281" w:rsidRPr="00D1621F" w:rsidRDefault="00B04281" w:rsidP="00B04281">
      <w:pPr>
        <w:pStyle w:val="ListParagraph"/>
        <w:numPr>
          <w:ilvl w:val="0"/>
          <w:numId w:val="13"/>
        </w:numPr>
        <w:spacing w:after="0" w:line="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Depository </w:t>
      </w:r>
      <w:r>
        <w:rPr>
          <w:rFonts w:ascii="Garamond" w:hAnsi="Garamond"/>
          <w:sz w:val="24"/>
          <w:szCs w:val="24"/>
        </w:rPr>
        <w:t xml:space="preserve">(User) </w:t>
      </w:r>
      <w:r>
        <w:rPr>
          <w:rFonts w:ascii="Garamond" w:hAnsi="Garamond"/>
          <w:sz w:val="24"/>
          <w:szCs w:val="24"/>
        </w:rPr>
        <w:t>Regulations, 200</w:t>
      </w:r>
      <w:r>
        <w:rPr>
          <w:rFonts w:ascii="Garamond" w:hAnsi="Garamond"/>
          <w:sz w:val="24"/>
          <w:szCs w:val="24"/>
        </w:rPr>
        <w:t>3</w:t>
      </w:r>
      <w:r w:rsidRPr="00D1621F">
        <w:rPr>
          <w:rFonts w:ascii="Garamond" w:hAnsi="Garamond"/>
          <w:sz w:val="24"/>
          <w:szCs w:val="24"/>
        </w:rPr>
        <w:t xml:space="preserve"> </w:t>
      </w:r>
    </w:p>
    <w:p w14:paraId="64C7EE82" w14:textId="77777777" w:rsidR="00031E18" w:rsidRPr="00031E18" w:rsidRDefault="00BC0A6B" w:rsidP="00223AE5">
      <w:pPr>
        <w:pStyle w:val="ListParagraph"/>
        <w:numPr>
          <w:ilvl w:val="0"/>
          <w:numId w:val="13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Exchange Demutualizatio</w:t>
      </w:r>
      <w:r w:rsidR="00031E18">
        <w:rPr>
          <w:rFonts w:ascii="Garamond" w:hAnsi="Garamond"/>
          <w:sz w:val="24"/>
          <w:szCs w:val="24"/>
        </w:rPr>
        <w:t>n Act, 2013</w:t>
      </w:r>
    </w:p>
    <w:p w14:paraId="039AAB8A" w14:textId="77777777" w:rsidR="00031E18" w:rsidRDefault="00031E18" w:rsidP="00031E18">
      <w:pPr>
        <w:spacing w:after="0" w:line="0" w:lineRule="atLeast"/>
        <w:rPr>
          <w:rFonts w:ascii="Garamond" w:hAnsi="Garamond"/>
        </w:rPr>
      </w:pPr>
    </w:p>
    <w:p w14:paraId="2F12662A" w14:textId="77777777" w:rsidR="00031E18" w:rsidRDefault="00031E18" w:rsidP="00031E18">
      <w:p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 xml:space="preserve">Module 6. </w:t>
      </w:r>
    </w:p>
    <w:p w14:paraId="22F17F4C" w14:textId="28FAEDFB" w:rsidR="00736D1A" w:rsidRDefault="00736D1A" w:rsidP="00736D1A">
      <w:pPr>
        <w:pStyle w:val="ListParagraph"/>
        <w:numPr>
          <w:ilvl w:val="0"/>
          <w:numId w:val="15"/>
        </w:num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>Securities and Exchange Commission (</w:t>
      </w:r>
      <w:r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ublic Issue</w:t>
      </w:r>
      <w:r w:rsidRPr="00D1621F">
        <w:rPr>
          <w:rFonts w:ascii="Garamond" w:hAnsi="Garamond"/>
          <w:sz w:val="24"/>
          <w:szCs w:val="24"/>
        </w:rPr>
        <w:t xml:space="preserve">) Rules, </w:t>
      </w:r>
      <w:r>
        <w:rPr>
          <w:rFonts w:ascii="Garamond" w:hAnsi="Garamond"/>
          <w:sz w:val="24"/>
          <w:szCs w:val="24"/>
        </w:rPr>
        <w:t>2015</w:t>
      </w:r>
    </w:p>
    <w:p w14:paraId="3D8876D9" w14:textId="22415478" w:rsidR="00736D1A" w:rsidRDefault="00736D1A" w:rsidP="00736D1A">
      <w:pPr>
        <w:pStyle w:val="ListParagraph"/>
        <w:numPr>
          <w:ilvl w:val="0"/>
          <w:numId w:val="15"/>
        </w:numPr>
        <w:spacing w:after="0" w:line="0" w:lineRule="atLeast"/>
        <w:rPr>
          <w:rFonts w:ascii="Garamond" w:hAnsi="Garamond"/>
          <w:sz w:val="24"/>
          <w:szCs w:val="24"/>
        </w:rPr>
      </w:pPr>
      <w:r w:rsidRPr="00D1621F">
        <w:rPr>
          <w:rFonts w:ascii="Garamond" w:hAnsi="Garamond"/>
          <w:sz w:val="24"/>
          <w:szCs w:val="24"/>
        </w:rPr>
        <w:t xml:space="preserve">Securities and Exchange </w:t>
      </w:r>
      <w:r>
        <w:rPr>
          <w:rFonts w:ascii="Garamond" w:hAnsi="Garamond"/>
          <w:sz w:val="24"/>
          <w:szCs w:val="24"/>
        </w:rPr>
        <w:t>Rules 2020</w:t>
      </w:r>
    </w:p>
    <w:p w14:paraId="15D8BDC1" w14:textId="36F44285" w:rsidR="00736D1A" w:rsidRDefault="00736D1A" w:rsidP="00736D1A">
      <w:pPr>
        <w:spacing w:after="0" w:line="0" w:lineRule="atLeast"/>
        <w:rPr>
          <w:rFonts w:ascii="Garamond" w:hAnsi="Garamond"/>
        </w:rPr>
      </w:pPr>
    </w:p>
    <w:p w14:paraId="53A8C500" w14:textId="55354FB1" w:rsidR="00736D1A" w:rsidRDefault="00736D1A" w:rsidP="00736D1A">
      <w:p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 xml:space="preserve">Module 7. </w:t>
      </w:r>
    </w:p>
    <w:p w14:paraId="057EA6AF" w14:textId="77777777" w:rsidR="00F03505" w:rsidRDefault="00F03505" w:rsidP="00736D1A">
      <w:pPr>
        <w:pStyle w:val="ListParagraph"/>
        <w:numPr>
          <w:ilvl w:val="0"/>
          <w:numId w:val="16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 xml:space="preserve">Bangladesh Securities and Exchange Commission (Alternative Investment) Rules 2015 </w:t>
      </w:r>
    </w:p>
    <w:p w14:paraId="168EADA4" w14:textId="1944A79F" w:rsidR="00F03505" w:rsidRDefault="00F03505" w:rsidP="00F03505">
      <w:pPr>
        <w:pStyle w:val="ListParagraph"/>
        <w:numPr>
          <w:ilvl w:val="0"/>
          <w:numId w:val="16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>Bangladesh Securities and Exchange Commission (</w:t>
      </w:r>
      <w:r>
        <w:rPr>
          <w:rFonts w:ascii="Garamond" w:hAnsi="Garamond"/>
        </w:rPr>
        <w:t>Short Sale)</w:t>
      </w:r>
      <w:r>
        <w:rPr>
          <w:rFonts w:ascii="Garamond" w:hAnsi="Garamond"/>
        </w:rPr>
        <w:t xml:space="preserve"> Rules 201</w:t>
      </w:r>
      <w:r>
        <w:rPr>
          <w:rFonts w:ascii="Garamond" w:hAnsi="Garamond"/>
        </w:rPr>
        <w:t>9</w:t>
      </w:r>
      <w:r>
        <w:rPr>
          <w:rFonts w:ascii="Garamond" w:hAnsi="Garamond"/>
        </w:rPr>
        <w:t xml:space="preserve"> </w:t>
      </w:r>
    </w:p>
    <w:p w14:paraId="793F2C2A" w14:textId="56FB7017" w:rsidR="00736D1A" w:rsidRDefault="00736D1A" w:rsidP="00F03505">
      <w:pPr>
        <w:spacing w:after="0" w:line="0" w:lineRule="atLeast"/>
        <w:rPr>
          <w:rFonts w:ascii="Garamond" w:hAnsi="Garamond"/>
        </w:rPr>
      </w:pPr>
    </w:p>
    <w:p w14:paraId="0707FF6C" w14:textId="2BB2B923" w:rsidR="00F03505" w:rsidRDefault="00F03505" w:rsidP="00F03505">
      <w:p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 xml:space="preserve">Module 8. </w:t>
      </w:r>
    </w:p>
    <w:p w14:paraId="08DC52A2" w14:textId="21DB826D" w:rsidR="003F109F" w:rsidRDefault="00F03505" w:rsidP="00F03505">
      <w:pPr>
        <w:pStyle w:val="ListParagraph"/>
        <w:numPr>
          <w:ilvl w:val="0"/>
          <w:numId w:val="17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>CSE Listing Regulation</w:t>
      </w:r>
      <w:r w:rsidR="003F109F">
        <w:rPr>
          <w:rFonts w:ascii="Garamond" w:hAnsi="Garamond"/>
        </w:rPr>
        <w:t>s,</w:t>
      </w:r>
      <w:r>
        <w:rPr>
          <w:rFonts w:ascii="Garamond" w:hAnsi="Garamond"/>
        </w:rPr>
        <w:t xml:space="preserve"> 2015</w:t>
      </w:r>
    </w:p>
    <w:p w14:paraId="02752C97" w14:textId="7D276636" w:rsidR="00F03505" w:rsidRDefault="00F03505" w:rsidP="00F03505">
      <w:pPr>
        <w:pStyle w:val="ListParagraph"/>
        <w:numPr>
          <w:ilvl w:val="0"/>
          <w:numId w:val="17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>CSE Investor Protection Fund Regulation</w:t>
      </w:r>
      <w:r w:rsidR="003F109F">
        <w:rPr>
          <w:rFonts w:ascii="Garamond" w:hAnsi="Garamond"/>
        </w:rPr>
        <w:t>s</w:t>
      </w:r>
      <w:r>
        <w:rPr>
          <w:rFonts w:ascii="Garamond" w:hAnsi="Garamond"/>
        </w:rPr>
        <w:t xml:space="preserve">, 2014, </w:t>
      </w:r>
    </w:p>
    <w:p w14:paraId="49F6F32B" w14:textId="77777777" w:rsidR="003F109F" w:rsidRDefault="003F109F" w:rsidP="00F03505">
      <w:pPr>
        <w:pStyle w:val="ListParagraph"/>
        <w:numPr>
          <w:ilvl w:val="0"/>
          <w:numId w:val="17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>CSE (Settlement of Transaction) Regulations, 2013</w:t>
      </w:r>
    </w:p>
    <w:p w14:paraId="5A071568" w14:textId="77777777" w:rsidR="003F109F" w:rsidRDefault="003F109F" w:rsidP="00F03505">
      <w:pPr>
        <w:pStyle w:val="ListParagraph"/>
        <w:numPr>
          <w:ilvl w:val="0"/>
          <w:numId w:val="17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>CSE Automated Training Regulations, 1998</w:t>
      </w:r>
    </w:p>
    <w:p w14:paraId="77ACBFD9" w14:textId="77777777" w:rsidR="003F109F" w:rsidRDefault="003F109F" w:rsidP="00F03505">
      <w:pPr>
        <w:pStyle w:val="ListParagraph"/>
        <w:numPr>
          <w:ilvl w:val="0"/>
          <w:numId w:val="17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>CSE TREC Holders Margin Regulations 2013</w:t>
      </w:r>
    </w:p>
    <w:p w14:paraId="3898F8BA" w14:textId="7A57BCB7" w:rsidR="003F109F" w:rsidRDefault="003F109F" w:rsidP="00F03505">
      <w:pPr>
        <w:pStyle w:val="ListParagraph"/>
        <w:numPr>
          <w:ilvl w:val="0"/>
          <w:numId w:val="17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>CSE (Administration of Trading Right Entitlement Certificate) Regulations, 2020</w:t>
      </w:r>
    </w:p>
    <w:p w14:paraId="3436387B" w14:textId="0428A756" w:rsidR="003F109F" w:rsidRDefault="003F109F" w:rsidP="003F109F">
      <w:pPr>
        <w:pStyle w:val="ListParagraph"/>
        <w:numPr>
          <w:ilvl w:val="0"/>
          <w:numId w:val="17"/>
        </w:numPr>
        <w:spacing w:after="0" w:line="0" w:lineRule="atLeast"/>
        <w:rPr>
          <w:rFonts w:ascii="Garamond" w:hAnsi="Garamond"/>
        </w:rPr>
      </w:pPr>
      <w:r>
        <w:rPr>
          <w:rFonts w:ascii="Garamond" w:hAnsi="Garamond"/>
        </w:rPr>
        <w:t>CSE (Administration of Trading Right Entitlement Certificate) R</w:t>
      </w:r>
      <w:r>
        <w:rPr>
          <w:rFonts w:ascii="Garamond" w:hAnsi="Garamond"/>
        </w:rPr>
        <w:t>ules</w:t>
      </w:r>
      <w:r>
        <w:rPr>
          <w:rFonts w:ascii="Garamond" w:hAnsi="Garamond"/>
        </w:rPr>
        <w:t>, 2020</w:t>
      </w:r>
    </w:p>
    <w:p w14:paraId="4266A274" w14:textId="68F27C85" w:rsidR="003F109F" w:rsidRPr="00F03505" w:rsidRDefault="003F109F" w:rsidP="003F109F">
      <w:pPr>
        <w:pStyle w:val="ListParagraph"/>
        <w:spacing w:after="0" w:line="0" w:lineRule="atLeast"/>
        <w:rPr>
          <w:rFonts w:ascii="Garamond" w:hAnsi="Garamond"/>
        </w:rPr>
      </w:pPr>
    </w:p>
    <w:p w14:paraId="6E9AFB44" w14:textId="77777777" w:rsidR="00223AE5" w:rsidRPr="002037EB" w:rsidRDefault="00223AE5" w:rsidP="00223AE5">
      <w:pPr>
        <w:spacing w:after="0" w:line="0" w:lineRule="atLeast"/>
        <w:rPr>
          <w:rFonts w:ascii="Garamond" w:hAnsi="Garamond"/>
        </w:rPr>
      </w:pPr>
    </w:p>
    <w:p w14:paraId="15E306EC" w14:textId="77777777" w:rsidR="0006038F" w:rsidRPr="005E098B" w:rsidRDefault="0006038F" w:rsidP="0006038F">
      <w:pPr>
        <w:spacing w:after="0" w:line="0" w:lineRule="atLeast"/>
        <w:rPr>
          <w:rFonts w:ascii="Garamond" w:hAnsi="Garamond"/>
        </w:rPr>
      </w:pPr>
      <w:r w:rsidRPr="005E098B">
        <w:rPr>
          <w:rFonts w:ascii="Garamond" w:hAnsi="Garamond"/>
        </w:rPr>
        <w:t>The registration will be on first-come-first-serve basis. You can also contact:</w:t>
      </w:r>
    </w:p>
    <w:p w14:paraId="418D491A" w14:textId="77777777" w:rsidR="0006038F" w:rsidRPr="005E098B" w:rsidRDefault="0006038F" w:rsidP="0006038F">
      <w:pPr>
        <w:spacing w:after="0" w:line="0" w:lineRule="atLeast"/>
        <w:rPr>
          <w:rFonts w:ascii="Garamond" w:hAnsi="Garamond"/>
          <w:b/>
        </w:rPr>
      </w:pPr>
    </w:p>
    <w:p w14:paraId="643A3B37" w14:textId="77777777" w:rsidR="0006038F" w:rsidRPr="005E098B" w:rsidRDefault="0006038F" w:rsidP="0006038F">
      <w:pPr>
        <w:spacing w:after="0" w:line="0" w:lineRule="atLeast"/>
        <w:rPr>
          <w:rFonts w:ascii="Garamond" w:hAnsi="Garamond"/>
          <w:b/>
        </w:rPr>
      </w:pPr>
      <w:r w:rsidRPr="005E098B">
        <w:rPr>
          <w:rFonts w:ascii="Garamond" w:hAnsi="Garamond"/>
          <w:b/>
        </w:rPr>
        <w:t xml:space="preserve">Training Department </w:t>
      </w:r>
    </w:p>
    <w:p w14:paraId="28FEA5D7" w14:textId="77777777" w:rsidR="0006038F" w:rsidRPr="005E098B" w:rsidRDefault="0006038F" w:rsidP="0006038F">
      <w:pPr>
        <w:spacing w:after="0" w:line="0" w:lineRule="atLeast"/>
        <w:rPr>
          <w:rFonts w:ascii="Garamond" w:hAnsi="Garamond"/>
          <w:b/>
        </w:rPr>
      </w:pPr>
      <w:r w:rsidRPr="005E098B">
        <w:rPr>
          <w:rFonts w:ascii="Garamond" w:hAnsi="Garamond"/>
          <w:b/>
        </w:rPr>
        <w:t xml:space="preserve">Chittagong Stock Exchange Limited </w:t>
      </w:r>
    </w:p>
    <w:p w14:paraId="4C2D026B" w14:textId="77777777" w:rsidR="0006038F" w:rsidRPr="005E098B" w:rsidRDefault="0006038F" w:rsidP="0006038F">
      <w:pPr>
        <w:spacing w:after="0" w:line="0" w:lineRule="atLeast"/>
        <w:rPr>
          <w:rFonts w:ascii="Garamond" w:hAnsi="Garamond"/>
        </w:rPr>
      </w:pPr>
      <w:r w:rsidRPr="005E098B">
        <w:rPr>
          <w:rFonts w:ascii="Garamond" w:hAnsi="Garamond"/>
        </w:rPr>
        <w:t xml:space="preserve">CSE Building, 1080 Sk. Mujib Road </w:t>
      </w:r>
    </w:p>
    <w:p w14:paraId="75C2B07D" w14:textId="77777777" w:rsidR="0006038F" w:rsidRPr="005E098B" w:rsidRDefault="0006038F" w:rsidP="0006038F">
      <w:pPr>
        <w:spacing w:after="0" w:line="0" w:lineRule="atLeast"/>
        <w:rPr>
          <w:rFonts w:ascii="Garamond" w:hAnsi="Garamond"/>
        </w:rPr>
      </w:pPr>
      <w:r w:rsidRPr="005E098B">
        <w:rPr>
          <w:rFonts w:ascii="Garamond" w:hAnsi="Garamond"/>
        </w:rPr>
        <w:t>Agrabad, Chittagong.</w:t>
      </w:r>
    </w:p>
    <w:p w14:paraId="2388819C" w14:textId="0AA90DA0" w:rsidR="0006038F" w:rsidRDefault="0006038F" w:rsidP="00B5409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Page </w:t>
      </w:r>
      <w:r w:rsidR="00223AE5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of </w:t>
      </w:r>
      <w:r w:rsidR="00223AE5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 xml:space="preserve"> </w:t>
      </w:r>
    </w:p>
    <w:sectPr w:rsidR="0006038F" w:rsidSect="002B773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EC2"/>
    <w:multiLevelType w:val="hybridMultilevel"/>
    <w:tmpl w:val="69CC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440"/>
    <w:multiLevelType w:val="hybridMultilevel"/>
    <w:tmpl w:val="557A9D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6C763E"/>
    <w:multiLevelType w:val="hybridMultilevel"/>
    <w:tmpl w:val="50E2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7535"/>
    <w:multiLevelType w:val="hybridMultilevel"/>
    <w:tmpl w:val="7F30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F2280"/>
    <w:multiLevelType w:val="hybridMultilevel"/>
    <w:tmpl w:val="6ACCB48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157B53F6"/>
    <w:multiLevelType w:val="hybridMultilevel"/>
    <w:tmpl w:val="937A422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5D45CCF"/>
    <w:multiLevelType w:val="hybridMultilevel"/>
    <w:tmpl w:val="AAB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6DFF"/>
    <w:multiLevelType w:val="hybridMultilevel"/>
    <w:tmpl w:val="78EC5F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1D5DAB"/>
    <w:multiLevelType w:val="hybridMultilevel"/>
    <w:tmpl w:val="6B6EC67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41A639D9"/>
    <w:multiLevelType w:val="hybridMultilevel"/>
    <w:tmpl w:val="11A8A0C6"/>
    <w:lvl w:ilvl="0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0" w15:restartNumberingAfterBreak="0">
    <w:nsid w:val="43CE7139"/>
    <w:multiLevelType w:val="hybridMultilevel"/>
    <w:tmpl w:val="EE18BC9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E52378"/>
    <w:multiLevelType w:val="hybridMultilevel"/>
    <w:tmpl w:val="E92614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481C2DC5"/>
    <w:multiLevelType w:val="hybridMultilevel"/>
    <w:tmpl w:val="40020F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8F45057"/>
    <w:multiLevelType w:val="hybridMultilevel"/>
    <w:tmpl w:val="B4406B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A2F07FA"/>
    <w:multiLevelType w:val="hybridMultilevel"/>
    <w:tmpl w:val="BF7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73A4"/>
    <w:multiLevelType w:val="hybridMultilevel"/>
    <w:tmpl w:val="31EA46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43B781B"/>
    <w:multiLevelType w:val="hybridMultilevel"/>
    <w:tmpl w:val="DFDC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5"/>
  </w:num>
  <w:num w:numId="14">
    <w:abstractNumId w:val="14"/>
  </w:num>
  <w:num w:numId="15">
    <w:abstractNumId w:val="1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9E"/>
    <w:rsid w:val="00031E18"/>
    <w:rsid w:val="0006038F"/>
    <w:rsid w:val="000B0A15"/>
    <w:rsid w:val="001D1E88"/>
    <w:rsid w:val="00223AE5"/>
    <w:rsid w:val="002B773B"/>
    <w:rsid w:val="00323E0B"/>
    <w:rsid w:val="00394CE4"/>
    <w:rsid w:val="003D56B7"/>
    <w:rsid w:val="003F109F"/>
    <w:rsid w:val="004C27F3"/>
    <w:rsid w:val="0050427C"/>
    <w:rsid w:val="0066377F"/>
    <w:rsid w:val="00682E1B"/>
    <w:rsid w:val="006C4B44"/>
    <w:rsid w:val="00732C9F"/>
    <w:rsid w:val="00736D1A"/>
    <w:rsid w:val="00781F95"/>
    <w:rsid w:val="007836E3"/>
    <w:rsid w:val="0080594C"/>
    <w:rsid w:val="00823685"/>
    <w:rsid w:val="00870A25"/>
    <w:rsid w:val="008E6BF4"/>
    <w:rsid w:val="0090061F"/>
    <w:rsid w:val="009373E7"/>
    <w:rsid w:val="009D3E34"/>
    <w:rsid w:val="009F5335"/>
    <w:rsid w:val="00B04281"/>
    <w:rsid w:val="00B5409E"/>
    <w:rsid w:val="00BC0A6B"/>
    <w:rsid w:val="00BE164B"/>
    <w:rsid w:val="00C321EC"/>
    <w:rsid w:val="00C55027"/>
    <w:rsid w:val="00CB075C"/>
    <w:rsid w:val="00EC0D81"/>
    <w:rsid w:val="00ED242B"/>
    <w:rsid w:val="00F0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10A7"/>
  <w15:chartTrackingRefBased/>
  <w15:docId w15:val="{242717E1-45B6-470D-96CC-5692B09B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0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40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409E"/>
    <w:rPr>
      <w:b/>
      <w:bCs/>
    </w:rPr>
  </w:style>
  <w:style w:type="character" w:styleId="Emphasis">
    <w:name w:val="Emphasis"/>
    <w:basedOn w:val="DefaultParagraphFont"/>
    <w:uiPriority w:val="20"/>
    <w:qFormat/>
    <w:rsid w:val="00B54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51E75-2608-47EE-A52C-0E380BAB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2022-02-08T06:25:00Z</dcterms:created>
  <dcterms:modified xsi:type="dcterms:W3CDTF">2022-02-08T09:00:00Z</dcterms:modified>
</cp:coreProperties>
</file>