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595"/>
        <w:gridCol w:w="6197"/>
      </w:tblGrid>
      <w:tr w:rsidR="000C6008" w:rsidRPr="00A219FB" w14:paraId="5927FEC1" w14:textId="77777777" w:rsidTr="00B33EE5">
        <w:trPr>
          <w:trHeight w:val="639"/>
        </w:trPr>
        <w:tc>
          <w:tcPr>
            <w:tcW w:w="3595" w:type="dxa"/>
          </w:tcPr>
          <w:p w14:paraId="1D1B1BC9" w14:textId="77777777" w:rsidR="006C07B8" w:rsidRPr="00A219FB" w:rsidRDefault="006C07B8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Address</w:t>
            </w:r>
          </w:p>
        </w:tc>
        <w:tc>
          <w:tcPr>
            <w:tcW w:w="6197" w:type="dxa"/>
          </w:tcPr>
          <w:p w14:paraId="3405AF6F" w14:textId="4EECC677" w:rsidR="006C07B8" w:rsidRPr="00A219FB" w:rsidRDefault="006803BB" w:rsidP="00554693">
            <w:pPr>
              <w:jc w:val="both"/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/>
              </w:rPr>
              <w:t xml:space="preserve">Corporate Office: </w:t>
            </w:r>
            <w:r w:rsidR="00C6545D">
              <w:rPr>
                <w:rFonts w:ascii="Garamond" w:hAnsi="Garamond"/>
              </w:rPr>
              <w:t xml:space="preserve">Red Crescent </w:t>
            </w:r>
            <w:proofErr w:type="spellStart"/>
            <w:r w:rsidR="00C6545D">
              <w:rPr>
                <w:rFonts w:ascii="Garamond" w:hAnsi="Garamond"/>
              </w:rPr>
              <w:t>Borak</w:t>
            </w:r>
            <w:proofErr w:type="spellEnd"/>
            <w:r w:rsidR="00C6545D">
              <w:rPr>
                <w:rFonts w:ascii="Garamond" w:hAnsi="Garamond"/>
              </w:rPr>
              <w:t xml:space="preserve"> Tower, Level 7 &amp; </w:t>
            </w:r>
            <w:proofErr w:type="gramStart"/>
            <w:r w:rsidR="00C6545D">
              <w:rPr>
                <w:rFonts w:ascii="Garamond" w:hAnsi="Garamond"/>
              </w:rPr>
              <w:t>10</w:t>
            </w:r>
            <w:r w:rsidR="008B77A8">
              <w:rPr>
                <w:rFonts w:ascii="Garamond" w:hAnsi="Garamond"/>
              </w:rPr>
              <w:t xml:space="preserve">,  </w:t>
            </w:r>
            <w:r w:rsidR="00C6545D">
              <w:rPr>
                <w:rFonts w:ascii="Garamond" w:hAnsi="Garamond"/>
              </w:rPr>
              <w:t>71</w:t>
            </w:r>
            <w:proofErr w:type="gramEnd"/>
            <w:r w:rsidR="00C6545D">
              <w:rPr>
                <w:rFonts w:ascii="Garamond" w:hAnsi="Garamond"/>
              </w:rPr>
              <w:t xml:space="preserve">-72 Old </w:t>
            </w:r>
            <w:proofErr w:type="spellStart"/>
            <w:r w:rsidR="00C6545D">
              <w:rPr>
                <w:rFonts w:ascii="Garamond" w:hAnsi="Garamond"/>
              </w:rPr>
              <w:t>Elephent</w:t>
            </w:r>
            <w:proofErr w:type="spellEnd"/>
            <w:r w:rsidR="00C6545D">
              <w:rPr>
                <w:rFonts w:ascii="Garamond" w:hAnsi="Garamond"/>
              </w:rPr>
              <w:t xml:space="preserve"> Road, Eskaton Garden, Dh</w:t>
            </w:r>
            <w:r w:rsidR="006C6865" w:rsidRPr="00A219FB">
              <w:rPr>
                <w:rFonts w:ascii="Garamond" w:hAnsi="Garamond"/>
              </w:rPr>
              <w:t>aka</w:t>
            </w:r>
            <w:r w:rsidR="008B77A8">
              <w:rPr>
                <w:rFonts w:ascii="Garamond" w:hAnsi="Garamond"/>
              </w:rPr>
              <w:t>-1</w:t>
            </w:r>
            <w:r w:rsidR="00C6545D">
              <w:rPr>
                <w:rFonts w:ascii="Garamond" w:hAnsi="Garamond"/>
              </w:rPr>
              <w:t>000</w:t>
            </w:r>
            <w:r w:rsidR="007C6139" w:rsidRPr="00A219FB">
              <w:rPr>
                <w:rFonts w:ascii="Garamond" w:hAnsi="Garamond" w:cs="Times New Roman"/>
              </w:rPr>
              <w:t>,</w:t>
            </w:r>
            <w:r w:rsidR="00AA2610" w:rsidRPr="00A219FB">
              <w:rPr>
                <w:rFonts w:ascii="Garamond" w:hAnsi="Garamond" w:cs="Times New Roman"/>
              </w:rPr>
              <w:t xml:space="preserve"> </w:t>
            </w:r>
            <w:r w:rsidR="006C6865" w:rsidRPr="00A219FB">
              <w:rPr>
                <w:rFonts w:ascii="Garamond" w:hAnsi="Garamond"/>
              </w:rPr>
              <w:t>Tel: +88-02-</w:t>
            </w:r>
            <w:r w:rsidR="00C6545D">
              <w:rPr>
                <w:rFonts w:ascii="Garamond" w:hAnsi="Garamond"/>
              </w:rPr>
              <w:t>55138529,+880-2-55138533-35</w:t>
            </w:r>
            <w:r w:rsidR="006C6865" w:rsidRPr="00A219FB">
              <w:rPr>
                <w:rFonts w:ascii="Garamond" w:hAnsi="Garamond"/>
              </w:rPr>
              <w:t xml:space="preserve"> Fax: +88-02-</w:t>
            </w:r>
            <w:r w:rsidR="00C6545D">
              <w:rPr>
                <w:rFonts w:ascii="Garamond" w:hAnsi="Garamond"/>
              </w:rPr>
              <w:t>55138530-31</w:t>
            </w:r>
            <w:r w:rsidR="00FD703C" w:rsidRPr="00A219FB">
              <w:rPr>
                <w:rFonts w:ascii="Garamond" w:hAnsi="Garamond"/>
              </w:rPr>
              <w:t xml:space="preserve">; </w:t>
            </w:r>
            <w:r w:rsidR="006C6865" w:rsidRPr="00A219FB">
              <w:rPr>
                <w:rFonts w:ascii="Garamond" w:hAnsi="Garamond"/>
              </w:rPr>
              <w:t xml:space="preserve">E-mail: </w:t>
            </w:r>
            <w:r w:rsidR="00C6545D">
              <w:rPr>
                <w:rFonts w:ascii="Garamond" w:hAnsi="Garamond"/>
              </w:rPr>
              <w:t>parymal.sarkar@mirakhter.net</w:t>
            </w:r>
            <w:r w:rsidR="00FD703C" w:rsidRPr="00A219FB">
              <w:rPr>
                <w:rFonts w:ascii="Garamond" w:hAnsi="Garamond"/>
              </w:rPr>
              <w:t xml:space="preserve"> </w:t>
            </w:r>
            <w:r w:rsidR="006C6865" w:rsidRPr="00A219FB">
              <w:rPr>
                <w:rFonts w:ascii="Garamond" w:hAnsi="Garamond"/>
              </w:rPr>
              <w:t xml:space="preserve">Web: </w:t>
            </w:r>
            <w:r w:rsidR="00C6545D">
              <w:rPr>
                <w:rFonts w:ascii="Garamond" w:hAnsi="Garamond"/>
              </w:rPr>
              <w:t>w</w:t>
            </w:r>
            <w:r w:rsidR="006C6865" w:rsidRPr="00A219FB">
              <w:rPr>
                <w:rFonts w:ascii="Garamond" w:hAnsi="Garamond"/>
              </w:rPr>
              <w:t>ww.</w:t>
            </w:r>
            <w:r w:rsidR="00C6545D">
              <w:rPr>
                <w:rFonts w:ascii="Garamond" w:hAnsi="Garamond"/>
              </w:rPr>
              <w:t>mirakhter.net</w:t>
            </w:r>
          </w:p>
        </w:tc>
      </w:tr>
      <w:tr w:rsidR="00A56A7D" w:rsidRPr="00A219FB" w14:paraId="6C9BA4A4" w14:textId="77777777" w:rsidTr="00B33EE5">
        <w:trPr>
          <w:trHeight w:val="368"/>
        </w:trPr>
        <w:tc>
          <w:tcPr>
            <w:tcW w:w="3595" w:type="dxa"/>
          </w:tcPr>
          <w:p w14:paraId="3B3F385E" w14:textId="0ED5C625" w:rsidR="00A56A7D" w:rsidRPr="00A219FB" w:rsidRDefault="00A56A7D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Managing Director</w:t>
            </w:r>
          </w:p>
        </w:tc>
        <w:tc>
          <w:tcPr>
            <w:tcW w:w="6197" w:type="dxa"/>
          </w:tcPr>
          <w:p w14:paraId="0362491E" w14:textId="14C0BA54" w:rsidR="00A56A7D" w:rsidRPr="00A219FB" w:rsidRDefault="00554693" w:rsidP="00192E28">
            <w:pPr>
              <w:jc w:val="both"/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 xml:space="preserve">Mr. </w:t>
            </w:r>
            <w:r w:rsidR="00C6545D">
              <w:rPr>
                <w:rFonts w:ascii="Garamond" w:hAnsi="Garamond" w:cs="Times New Roman"/>
              </w:rPr>
              <w:t>Mir Nasir Hossain</w:t>
            </w:r>
          </w:p>
        </w:tc>
      </w:tr>
      <w:tr w:rsidR="000C6008" w:rsidRPr="00A219FB" w14:paraId="0523BB2B" w14:textId="77777777" w:rsidTr="00B33EE5">
        <w:trPr>
          <w:trHeight w:val="639"/>
        </w:trPr>
        <w:tc>
          <w:tcPr>
            <w:tcW w:w="3595" w:type="dxa"/>
          </w:tcPr>
          <w:p w14:paraId="6E650C40" w14:textId="77777777" w:rsidR="00D06126" w:rsidRPr="00A219FB" w:rsidRDefault="00D06126">
            <w:pPr>
              <w:rPr>
                <w:rFonts w:ascii="Garamond" w:hAnsi="Garamond" w:cs="Times New Roman"/>
              </w:rPr>
            </w:pPr>
            <w:r w:rsidRPr="00A219FB">
              <w:rPr>
                <w:rFonts w:ascii="Garamond" w:hAnsi="Garamond" w:cs="Times New Roman"/>
              </w:rPr>
              <w:t>Nature of Business</w:t>
            </w:r>
          </w:p>
        </w:tc>
        <w:tc>
          <w:tcPr>
            <w:tcW w:w="6197" w:type="dxa"/>
          </w:tcPr>
          <w:p w14:paraId="3593E0CC" w14:textId="19D16813" w:rsidR="00D06126" w:rsidRPr="00AF3CE5" w:rsidRDefault="00D25E60" w:rsidP="00AF3CE5">
            <w:pPr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 xml:space="preserve">Mir Akhter Hossain Limited (MHL) </w:t>
            </w:r>
            <w:r w:rsidR="00775B43">
              <w:rPr>
                <w:rFonts w:ascii="Garamond" w:hAnsi="Garamond"/>
              </w:rPr>
              <w:t>owns and operates con</w:t>
            </w:r>
            <w:r w:rsidR="00775B43" w:rsidRPr="00775B43">
              <w:rPr>
                <w:rFonts w:ascii="Garamond" w:hAnsi="Garamond"/>
              </w:rPr>
              <w:t>structions business</w:t>
            </w:r>
            <w:r w:rsidR="00775B43">
              <w:rPr>
                <w:rFonts w:ascii="Garamond" w:hAnsi="Garamond"/>
              </w:rPr>
              <w:t xml:space="preserve">. In addition to working under its own name, the company also executes several construction </w:t>
            </w:r>
            <w:proofErr w:type="gramStart"/>
            <w:r w:rsidR="00775B43">
              <w:rPr>
                <w:rFonts w:ascii="Garamond" w:hAnsi="Garamond"/>
              </w:rPr>
              <w:t>work</w:t>
            </w:r>
            <w:proofErr w:type="gramEnd"/>
            <w:r w:rsidR="00775B43">
              <w:rPr>
                <w:rFonts w:ascii="Garamond" w:hAnsi="Garamond"/>
              </w:rPr>
              <w:t xml:space="preserve"> under Joint Venture Agreement. </w:t>
            </w:r>
            <w:r>
              <w:rPr>
                <w:rFonts w:ascii="Garamond" w:hAnsi="Garamond"/>
              </w:rPr>
              <w:t>MHL</w:t>
            </w:r>
            <w:r w:rsidR="00775B43">
              <w:rPr>
                <w:rFonts w:ascii="Garamond" w:hAnsi="Garamond"/>
              </w:rPr>
              <w:t xml:space="preserve"> is a </w:t>
            </w:r>
            <w:r w:rsidR="00775B43" w:rsidRPr="00775B43">
              <w:rPr>
                <w:rFonts w:ascii="Garamond" w:hAnsi="Garamond"/>
              </w:rPr>
              <w:t>well-diversified and leading company with operations in projects including constructions of roads, bridges, highways, railway tracks, airports, discharge channels, 5-star luxury hotels, civil construction of power plants, functional buildings, factory buildings and complex infrastructural projects. The company is also actively engaged in gas pad drilling using high-tech utility rigs, river dredging, manufacturing of railway sleepers and poles, and soil stabilization</w:t>
            </w:r>
            <w:r w:rsidR="00775B43">
              <w:t>.</w:t>
            </w:r>
          </w:p>
        </w:tc>
      </w:tr>
      <w:tr w:rsidR="0071119F" w:rsidRPr="0071119F" w14:paraId="0F77DBB3" w14:textId="77777777" w:rsidTr="00E10CF7">
        <w:trPr>
          <w:trHeight w:val="332"/>
        </w:trPr>
        <w:tc>
          <w:tcPr>
            <w:tcW w:w="3595" w:type="dxa"/>
          </w:tcPr>
          <w:p w14:paraId="60749B37" w14:textId="501BE72B" w:rsidR="00461DB0" w:rsidRPr="0071119F" w:rsidRDefault="00461DB0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Product/Service</w:t>
            </w:r>
          </w:p>
        </w:tc>
        <w:tc>
          <w:tcPr>
            <w:tcW w:w="6197" w:type="dxa"/>
          </w:tcPr>
          <w:p w14:paraId="747389BC" w14:textId="672E9A29" w:rsidR="00461DB0" w:rsidRPr="0071119F" w:rsidRDefault="00E10CF7" w:rsidP="00EE5BDC">
            <w:pPr>
              <w:jc w:val="both"/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Construction business contributes 100% of company’s total revenues.</w:t>
            </w:r>
          </w:p>
        </w:tc>
      </w:tr>
      <w:tr w:rsidR="0071119F" w:rsidRPr="0071119F" w14:paraId="291E5762" w14:textId="77777777" w:rsidTr="00B33EE5">
        <w:trPr>
          <w:trHeight w:val="326"/>
        </w:trPr>
        <w:tc>
          <w:tcPr>
            <w:tcW w:w="3595" w:type="dxa"/>
          </w:tcPr>
          <w:p w14:paraId="2CC0226E" w14:textId="6391796F" w:rsidR="00D06126" w:rsidRPr="0071119F" w:rsidRDefault="00612B4B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Market for the products</w:t>
            </w:r>
            <w:r w:rsidR="00AF3CE5" w:rsidRPr="0071119F">
              <w:rPr>
                <w:rFonts w:ascii="Garamond" w:hAnsi="Garamond" w:cs="Times New Roman"/>
              </w:rPr>
              <w:t>/services</w:t>
            </w:r>
          </w:p>
        </w:tc>
        <w:tc>
          <w:tcPr>
            <w:tcW w:w="6197" w:type="dxa"/>
          </w:tcPr>
          <w:p w14:paraId="61F5ADED" w14:textId="23E0FF03" w:rsidR="00D06126" w:rsidRPr="0071119F" w:rsidRDefault="00F158F3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Domestic  </w:t>
            </w:r>
          </w:p>
        </w:tc>
      </w:tr>
      <w:tr w:rsidR="0071119F" w:rsidRPr="0071119F" w14:paraId="35326890" w14:textId="77777777" w:rsidTr="00B33EE5">
        <w:trPr>
          <w:trHeight w:val="326"/>
        </w:trPr>
        <w:tc>
          <w:tcPr>
            <w:tcW w:w="3595" w:type="dxa"/>
          </w:tcPr>
          <w:p w14:paraId="6625FF69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BSEC’s Consent for IPO</w:t>
            </w:r>
          </w:p>
        </w:tc>
        <w:tc>
          <w:tcPr>
            <w:tcW w:w="6197" w:type="dxa"/>
          </w:tcPr>
          <w:p w14:paraId="5AC43BAE" w14:textId="3711E2FF" w:rsidR="00112509" w:rsidRPr="0071119F" w:rsidRDefault="00656302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November </w:t>
            </w:r>
            <w:r w:rsidR="00E10CF7" w:rsidRPr="0071119F">
              <w:rPr>
                <w:rFonts w:ascii="Garamond" w:hAnsi="Garamond" w:cs="Times New Roman"/>
              </w:rPr>
              <w:t>23</w:t>
            </w:r>
            <w:r w:rsidRPr="0071119F">
              <w:rPr>
                <w:rFonts w:ascii="Garamond" w:hAnsi="Garamond" w:cs="Times New Roman"/>
              </w:rPr>
              <w:t xml:space="preserve">, </w:t>
            </w:r>
            <w:r w:rsidR="00EF1ADA" w:rsidRPr="0071119F">
              <w:rPr>
                <w:rFonts w:ascii="Garamond" w:hAnsi="Garamond" w:cs="Times New Roman"/>
              </w:rPr>
              <w:t>2020</w:t>
            </w:r>
          </w:p>
        </w:tc>
      </w:tr>
      <w:tr w:rsidR="0071119F" w:rsidRPr="0071119F" w14:paraId="599281B7" w14:textId="77777777" w:rsidTr="00B33EE5">
        <w:trPr>
          <w:trHeight w:val="326"/>
        </w:trPr>
        <w:tc>
          <w:tcPr>
            <w:tcW w:w="3595" w:type="dxa"/>
          </w:tcPr>
          <w:p w14:paraId="69E23ACB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Issue Date of Prospectus</w:t>
            </w:r>
          </w:p>
        </w:tc>
        <w:tc>
          <w:tcPr>
            <w:tcW w:w="6197" w:type="dxa"/>
          </w:tcPr>
          <w:p w14:paraId="26F67FD3" w14:textId="0729F1C2" w:rsidR="00112509" w:rsidRPr="0071119F" w:rsidRDefault="00656302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November </w:t>
            </w:r>
            <w:r w:rsidR="00E10CF7" w:rsidRPr="0071119F">
              <w:rPr>
                <w:rFonts w:ascii="Garamond" w:hAnsi="Garamond" w:cs="Times New Roman"/>
              </w:rPr>
              <w:t>24</w:t>
            </w:r>
            <w:r w:rsidRPr="0071119F">
              <w:rPr>
                <w:rFonts w:ascii="Garamond" w:hAnsi="Garamond" w:cs="Times New Roman"/>
              </w:rPr>
              <w:t>, 2020</w:t>
            </w:r>
          </w:p>
        </w:tc>
      </w:tr>
      <w:tr w:rsidR="0071119F" w:rsidRPr="0071119F" w14:paraId="41D2EF4F" w14:textId="77777777" w:rsidTr="00B33EE5">
        <w:trPr>
          <w:trHeight w:val="326"/>
        </w:trPr>
        <w:tc>
          <w:tcPr>
            <w:tcW w:w="3595" w:type="dxa"/>
          </w:tcPr>
          <w:p w14:paraId="64872EEE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Subscription Open</w:t>
            </w:r>
          </w:p>
        </w:tc>
        <w:tc>
          <w:tcPr>
            <w:tcW w:w="6197" w:type="dxa"/>
          </w:tcPr>
          <w:p w14:paraId="31205E6B" w14:textId="0F350CB1" w:rsidR="00112509" w:rsidRPr="0071119F" w:rsidRDefault="00656302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December </w:t>
            </w:r>
            <w:r w:rsidR="00E10CF7" w:rsidRPr="0071119F">
              <w:rPr>
                <w:rFonts w:ascii="Garamond" w:hAnsi="Garamond" w:cs="Times New Roman"/>
              </w:rPr>
              <w:t>24</w:t>
            </w:r>
            <w:r w:rsidRPr="0071119F">
              <w:rPr>
                <w:rFonts w:ascii="Garamond" w:hAnsi="Garamond" w:cs="Times New Roman"/>
              </w:rPr>
              <w:t>, 2020</w:t>
            </w:r>
          </w:p>
        </w:tc>
      </w:tr>
      <w:tr w:rsidR="0071119F" w:rsidRPr="0071119F" w14:paraId="560E626A" w14:textId="77777777" w:rsidTr="00B33EE5">
        <w:trPr>
          <w:trHeight w:val="326"/>
        </w:trPr>
        <w:tc>
          <w:tcPr>
            <w:tcW w:w="3595" w:type="dxa"/>
          </w:tcPr>
          <w:p w14:paraId="54338BA1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Subscription Close</w:t>
            </w:r>
          </w:p>
        </w:tc>
        <w:tc>
          <w:tcPr>
            <w:tcW w:w="6197" w:type="dxa"/>
          </w:tcPr>
          <w:p w14:paraId="588088D6" w14:textId="59461D43" w:rsidR="00112509" w:rsidRPr="0071119F" w:rsidRDefault="00656302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December 3</w:t>
            </w:r>
            <w:r w:rsidR="00E10CF7" w:rsidRPr="0071119F">
              <w:rPr>
                <w:rFonts w:ascii="Garamond" w:hAnsi="Garamond" w:cs="Times New Roman"/>
              </w:rPr>
              <w:t>0</w:t>
            </w:r>
            <w:r w:rsidRPr="0071119F">
              <w:rPr>
                <w:rFonts w:ascii="Garamond" w:hAnsi="Garamond" w:cs="Times New Roman"/>
              </w:rPr>
              <w:t>, 2020</w:t>
            </w:r>
          </w:p>
        </w:tc>
      </w:tr>
      <w:tr w:rsidR="0071119F" w:rsidRPr="0071119F" w14:paraId="450DAF4B" w14:textId="77777777" w:rsidTr="00B33EE5">
        <w:trPr>
          <w:trHeight w:val="326"/>
        </w:trPr>
        <w:tc>
          <w:tcPr>
            <w:tcW w:w="3595" w:type="dxa"/>
          </w:tcPr>
          <w:p w14:paraId="2652E22E" w14:textId="63592C6C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Security Trading Code</w:t>
            </w:r>
          </w:p>
        </w:tc>
        <w:tc>
          <w:tcPr>
            <w:tcW w:w="6197" w:type="dxa"/>
          </w:tcPr>
          <w:p w14:paraId="54BBD600" w14:textId="5FB1B3C5" w:rsidR="00112509" w:rsidRPr="0071119F" w:rsidRDefault="00E10CF7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MIRAKHTER</w:t>
            </w:r>
          </w:p>
        </w:tc>
      </w:tr>
      <w:tr w:rsidR="0071119F" w:rsidRPr="0071119F" w14:paraId="22964DA9" w14:textId="77777777" w:rsidTr="00B33EE5">
        <w:trPr>
          <w:trHeight w:val="326"/>
        </w:trPr>
        <w:tc>
          <w:tcPr>
            <w:tcW w:w="3595" w:type="dxa"/>
          </w:tcPr>
          <w:p w14:paraId="00E27333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Public Offer of Ordinary Shares</w:t>
            </w:r>
          </w:p>
        </w:tc>
        <w:tc>
          <w:tcPr>
            <w:tcW w:w="6197" w:type="dxa"/>
          </w:tcPr>
          <w:p w14:paraId="0A6A1438" w14:textId="0EC0FE98" w:rsidR="00112509" w:rsidRPr="0071119F" w:rsidRDefault="00656302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20,</w:t>
            </w:r>
            <w:r w:rsidR="00E10CF7" w:rsidRPr="0071119F">
              <w:rPr>
                <w:rFonts w:ascii="Garamond" w:hAnsi="Garamond" w:cs="Times New Roman"/>
              </w:rPr>
              <w:t>771</w:t>
            </w:r>
            <w:r w:rsidRPr="0071119F">
              <w:rPr>
                <w:rFonts w:ascii="Garamond" w:hAnsi="Garamond" w:cs="Times New Roman"/>
              </w:rPr>
              <w:t>,</w:t>
            </w:r>
            <w:r w:rsidR="00E10CF7" w:rsidRPr="0071119F">
              <w:rPr>
                <w:rFonts w:ascii="Garamond" w:hAnsi="Garamond" w:cs="Times New Roman"/>
              </w:rPr>
              <w:t>547</w:t>
            </w:r>
            <w:r w:rsidR="00C94110" w:rsidRPr="0071119F">
              <w:rPr>
                <w:rFonts w:ascii="Garamond" w:hAnsi="Garamond" w:cs="Times New Roman"/>
              </w:rPr>
              <w:t xml:space="preserve"> shares</w:t>
            </w:r>
          </w:p>
        </w:tc>
      </w:tr>
      <w:tr w:rsidR="0071119F" w:rsidRPr="0071119F" w14:paraId="30D05EA2" w14:textId="77777777" w:rsidTr="00B33EE5">
        <w:trPr>
          <w:trHeight w:val="326"/>
        </w:trPr>
        <w:tc>
          <w:tcPr>
            <w:tcW w:w="3595" w:type="dxa"/>
          </w:tcPr>
          <w:p w14:paraId="7B2E1CE7" w14:textId="7881F06C" w:rsidR="00112509" w:rsidRPr="0071119F" w:rsidRDefault="00656302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I</w:t>
            </w:r>
            <w:r w:rsidR="00D06A2D" w:rsidRPr="0071119F">
              <w:rPr>
                <w:rFonts w:ascii="Garamond" w:hAnsi="Garamond" w:cs="Times New Roman"/>
              </w:rPr>
              <w:t xml:space="preserve">ssue Price </w:t>
            </w:r>
            <w:r w:rsidR="00C5364E" w:rsidRPr="0071119F">
              <w:rPr>
                <w:rFonts w:ascii="Garamond" w:hAnsi="Garamond" w:cs="Times New Roman"/>
              </w:rPr>
              <w:t>per share</w:t>
            </w:r>
          </w:p>
        </w:tc>
        <w:tc>
          <w:tcPr>
            <w:tcW w:w="6197" w:type="dxa"/>
          </w:tcPr>
          <w:p w14:paraId="3317BD92" w14:textId="1920AC6F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Tk. </w:t>
            </w:r>
            <w:r w:rsidR="001D779D" w:rsidRPr="0071119F">
              <w:rPr>
                <w:rFonts w:ascii="Garamond" w:hAnsi="Garamond" w:cs="Times New Roman"/>
              </w:rPr>
              <w:t>54</w:t>
            </w:r>
            <w:r w:rsidR="00656302" w:rsidRPr="0071119F">
              <w:rPr>
                <w:rFonts w:ascii="Garamond" w:hAnsi="Garamond" w:cs="Times New Roman"/>
              </w:rPr>
              <w:t xml:space="preserve"> E</w:t>
            </w:r>
            <w:r w:rsidRPr="0071119F">
              <w:rPr>
                <w:rFonts w:ascii="Garamond" w:hAnsi="Garamond" w:cs="Times New Roman"/>
              </w:rPr>
              <w:t>ach</w:t>
            </w:r>
            <w:r w:rsidR="00461DB0" w:rsidRPr="0071119F">
              <w:rPr>
                <w:rFonts w:ascii="Garamond" w:hAnsi="Garamond" w:cs="Times New Roman"/>
              </w:rPr>
              <w:t xml:space="preserve"> </w:t>
            </w:r>
            <w:r w:rsidR="00656302" w:rsidRPr="0071119F">
              <w:rPr>
                <w:rFonts w:ascii="Garamond" w:hAnsi="Garamond" w:cs="Times New Roman"/>
              </w:rPr>
              <w:t xml:space="preserve">(Cut Off price Tk. </w:t>
            </w:r>
            <w:r w:rsidR="001D779D" w:rsidRPr="0071119F">
              <w:rPr>
                <w:rFonts w:ascii="Garamond" w:hAnsi="Garamond" w:cs="Times New Roman"/>
              </w:rPr>
              <w:t>60</w:t>
            </w:r>
            <w:r w:rsidR="00656302" w:rsidRPr="0071119F">
              <w:rPr>
                <w:rFonts w:ascii="Garamond" w:hAnsi="Garamond" w:cs="Times New Roman"/>
              </w:rPr>
              <w:t>.00)</w:t>
            </w:r>
          </w:p>
        </w:tc>
      </w:tr>
      <w:tr w:rsidR="0071119F" w:rsidRPr="0071119F" w14:paraId="0FDC08CE" w14:textId="77777777" w:rsidTr="00B33EE5">
        <w:trPr>
          <w:trHeight w:val="326"/>
        </w:trPr>
        <w:tc>
          <w:tcPr>
            <w:tcW w:w="3595" w:type="dxa"/>
          </w:tcPr>
          <w:p w14:paraId="44CB4977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Authorized Capital</w:t>
            </w:r>
          </w:p>
        </w:tc>
        <w:tc>
          <w:tcPr>
            <w:tcW w:w="6197" w:type="dxa"/>
          </w:tcPr>
          <w:p w14:paraId="45CE2130" w14:textId="7CA01EAE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Tk. </w:t>
            </w:r>
            <w:r w:rsidR="001D779D" w:rsidRPr="0071119F">
              <w:rPr>
                <w:rFonts w:ascii="Garamond" w:hAnsi="Garamond" w:cs="Times New Roman"/>
              </w:rPr>
              <w:t>2</w:t>
            </w:r>
            <w:r w:rsidR="000119FD" w:rsidRPr="0071119F">
              <w:rPr>
                <w:rFonts w:ascii="Garamond" w:hAnsi="Garamond" w:cs="Times New Roman"/>
              </w:rPr>
              <w:t>,000</w:t>
            </w:r>
            <w:r w:rsidR="001D779D" w:rsidRPr="0071119F">
              <w:rPr>
                <w:rFonts w:ascii="Garamond" w:hAnsi="Garamond" w:cs="Times New Roman"/>
              </w:rPr>
              <w:t>.00</w:t>
            </w:r>
            <w:r w:rsidRPr="0071119F">
              <w:rPr>
                <w:rFonts w:ascii="Garamond" w:hAnsi="Garamond" w:cs="Times New Roman"/>
              </w:rPr>
              <w:t>mn</w:t>
            </w:r>
          </w:p>
        </w:tc>
      </w:tr>
      <w:tr w:rsidR="0071119F" w:rsidRPr="0071119F" w14:paraId="498C0E68" w14:textId="77777777" w:rsidTr="00B33EE5">
        <w:trPr>
          <w:trHeight w:val="326"/>
        </w:trPr>
        <w:tc>
          <w:tcPr>
            <w:tcW w:w="3595" w:type="dxa"/>
          </w:tcPr>
          <w:p w14:paraId="074A7C90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Pre-IPO Paid-up Capital</w:t>
            </w:r>
          </w:p>
        </w:tc>
        <w:tc>
          <w:tcPr>
            <w:tcW w:w="6197" w:type="dxa"/>
          </w:tcPr>
          <w:p w14:paraId="4F995CDB" w14:textId="7278F5E6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Tk. </w:t>
            </w:r>
            <w:r w:rsidR="00656302" w:rsidRPr="0071119F">
              <w:rPr>
                <w:rFonts w:ascii="Garamond" w:hAnsi="Garamond" w:cs="Times New Roman"/>
              </w:rPr>
              <w:t>1,</w:t>
            </w:r>
            <w:r w:rsidR="001D779D" w:rsidRPr="0071119F">
              <w:rPr>
                <w:rFonts w:ascii="Garamond" w:hAnsi="Garamond" w:cs="Times New Roman"/>
              </w:rPr>
              <w:t>000.00</w:t>
            </w:r>
            <w:r w:rsidR="00656302" w:rsidRPr="0071119F">
              <w:rPr>
                <w:rFonts w:ascii="Garamond" w:hAnsi="Garamond" w:cs="Times New Roman"/>
              </w:rPr>
              <w:t xml:space="preserve">mn </w:t>
            </w:r>
          </w:p>
        </w:tc>
      </w:tr>
      <w:tr w:rsidR="0071119F" w:rsidRPr="0071119F" w14:paraId="3D7DC843" w14:textId="77777777" w:rsidTr="00B33EE5">
        <w:trPr>
          <w:trHeight w:val="326"/>
        </w:trPr>
        <w:tc>
          <w:tcPr>
            <w:tcW w:w="3595" w:type="dxa"/>
          </w:tcPr>
          <w:p w14:paraId="1D118540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IPO Size </w:t>
            </w:r>
          </w:p>
        </w:tc>
        <w:tc>
          <w:tcPr>
            <w:tcW w:w="6197" w:type="dxa"/>
          </w:tcPr>
          <w:p w14:paraId="44319715" w14:textId="4FD79F08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Tk.</w:t>
            </w:r>
            <w:r w:rsidR="000119FD" w:rsidRPr="0071119F">
              <w:rPr>
                <w:rFonts w:ascii="Garamond" w:hAnsi="Garamond" w:cs="Times New Roman"/>
              </w:rPr>
              <w:t xml:space="preserve"> </w:t>
            </w:r>
            <w:r w:rsidR="00F0665C" w:rsidRPr="0071119F">
              <w:rPr>
                <w:rFonts w:ascii="Garamond" w:hAnsi="Garamond" w:cs="Times New Roman"/>
              </w:rPr>
              <w:t>1</w:t>
            </w:r>
            <w:r w:rsidR="00656302" w:rsidRPr="0071119F">
              <w:rPr>
                <w:rFonts w:ascii="Garamond" w:hAnsi="Garamond" w:cs="Times New Roman"/>
              </w:rPr>
              <w:t>,</w:t>
            </w:r>
            <w:r w:rsidR="001D779D" w:rsidRPr="0071119F">
              <w:rPr>
                <w:rFonts w:ascii="Garamond" w:hAnsi="Garamond" w:cs="Times New Roman"/>
              </w:rPr>
              <w:t>25</w:t>
            </w:r>
            <w:r w:rsidR="00656302" w:rsidRPr="0071119F">
              <w:rPr>
                <w:rFonts w:ascii="Garamond" w:hAnsi="Garamond" w:cs="Times New Roman"/>
              </w:rPr>
              <w:t>0.00</w:t>
            </w:r>
            <w:r w:rsidR="00733C6A" w:rsidRPr="0071119F">
              <w:rPr>
                <w:rFonts w:ascii="Garamond" w:hAnsi="Garamond" w:cs="Times New Roman"/>
              </w:rPr>
              <w:t xml:space="preserve"> </w:t>
            </w:r>
            <w:proofErr w:type="spellStart"/>
            <w:r w:rsidR="002B0AD4" w:rsidRPr="0071119F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71119F" w:rsidRPr="0071119F" w14:paraId="6BC81EAB" w14:textId="77777777" w:rsidTr="00B33EE5">
        <w:trPr>
          <w:trHeight w:val="326"/>
        </w:trPr>
        <w:tc>
          <w:tcPr>
            <w:tcW w:w="3595" w:type="dxa"/>
          </w:tcPr>
          <w:p w14:paraId="1D787EB2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Post IPO Paid-up Capital</w:t>
            </w:r>
          </w:p>
        </w:tc>
        <w:tc>
          <w:tcPr>
            <w:tcW w:w="6197" w:type="dxa"/>
          </w:tcPr>
          <w:p w14:paraId="32A129AA" w14:textId="462196E0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Tk. </w:t>
            </w:r>
            <w:r w:rsidR="00656302" w:rsidRPr="0071119F">
              <w:rPr>
                <w:rFonts w:ascii="Garamond" w:hAnsi="Garamond" w:cs="Times New Roman"/>
              </w:rPr>
              <w:t>1,</w:t>
            </w:r>
            <w:r w:rsidR="001D779D" w:rsidRPr="0071119F">
              <w:rPr>
                <w:rFonts w:ascii="Garamond" w:hAnsi="Garamond" w:cs="Times New Roman"/>
              </w:rPr>
              <w:t>207.72</w:t>
            </w:r>
            <w:r w:rsidR="00D06A2D" w:rsidRPr="0071119F">
              <w:rPr>
                <w:rFonts w:ascii="Garamond" w:hAnsi="Garamond" w:cs="Times New Roman"/>
              </w:rPr>
              <w:t xml:space="preserve"> </w:t>
            </w:r>
            <w:proofErr w:type="spellStart"/>
            <w:r w:rsidR="002B0AD4" w:rsidRPr="0071119F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71119F" w:rsidRPr="0071119F" w14:paraId="3A447882" w14:textId="77777777" w:rsidTr="00B33EE5">
        <w:trPr>
          <w:trHeight w:val="359"/>
        </w:trPr>
        <w:tc>
          <w:tcPr>
            <w:tcW w:w="3595" w:type="dxa"/>
          </w:tcPr>
          <w:p w14:paraId="774D83FF" w14:textId="7D519EC6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Min. size for IPO subscription (per lot)</w:t>
            </w:r>
          </w:p>
        </w:tc>
        <w:tc>
          <w:tcPr>
            <w:tcW w:w="6197" w:type="dxa"/>
          </w:tcPr>
          <w:p w14:paraId="73CDD3D5" w14:textId="2477FA16" w:rsidR="00112509" w:rsidRPr="0071119F" w:rsidRDefault="001D779D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1</w:t>
            </w:r>
            <w:r w:rsidR="00112509" w:rsidRPr="0071119F">
              <w:rPr>
                <w:rFonts w:ascii="Garamond" w:hAnsi="Garamond" w:cs="Times New Roman"/>
              </w:rPr>
              <w:t>00</w:t>
            </w:r>
          </w:p>
        </w:tc>
      </w:tr>
      <w:tr w:rsidR="0071119F" w:rsidRPr="0071119F" w14:paraId="32485C7A" w14:textId="77777777" w:rsidTr="00B33EE5">
        <w:trPr>
          <w:trHeight w:val="359"/>
        </w:trPr>
        <w:tc>
          <w:tcPr>
            <w:tcW w:w="3595" w:type="dxa"/>
          </w:tcPr>
          <w:p w14:paraId="3B350B00" w14:textId="382FC000" w:rsidR="00F158F3" w:rsidRPr="0071119F" w:rsidRDefault="00F158F3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Foreign Currency required for NRB and Foreign Applicants (per lot)</w:t>
            </w:r>
          </w:p>
        </w:tc>
        <w:tc>
          <w:tcPr>
            <w:tcW w:w="6197" w:type="dxa"/>
          </w:tcPr>
          <w:p w14:paraId="7CF3DBE8" w14:textId="1A2D104F" w:rsidR="00F158F3" w:rsidRPr="0071119F" w:rsidRDefault="001D779D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/>
              </w:rPr>
              <w:t>USD 64.14 or GBP 48.23 or EUR 54.42</w:t>
            </w:r>
          </w:p>
        </w:tc>
      </w:tr>
      <w:tr w:rsidR="0071119F" w:rsidRPr="0071119F" w14:paraId="0BD9DCAE" w14:textId="77777777" w:rsidTr="00A219FB">
        <w:trPr>
          <w:trHeight w:val="1898"/>
        </w:trPr>
        <w:tc>
          <w:tcPr>
            <w:tcW w:w="3595" w:type="dxa"/>
          </w:tcPr>
          <w:p w14:paraId="5F1738E0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Use of IPO proceeds</w:t>
            </w:r>
          </w:p>
        </w:tc>
        <w:tc>
          <w:tcPr>
            <w:tcW w:w="619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487"/>
              <w:gridCol w:w="2481"/>
            </w:tblGrid>
            <w:tr w:rsidR="0071119F" w:rsidRPr="0071119F" w14:paraId="71538C47" w14:textId="77777777" w:rsidTr="00853CF0">
              <w:trPr>
                <w:trHeight w:val="326"/>
              </w:trPr>
              <w:tc>
                <w:tcPr>
                  <w:tcW w:w="3487" w:type="dxa"/>
                </w:tcPr>
                <w:p w14:paraId="18EDCCA8" w14:textId="77777777" w:rsidR="00112509" w:rsidRPr="0071119F" w:rsidRDefault="00112509" w:rsidP="00112509">
                  <w:pPr>
                    <w:rPr>
                      <w:rFonts w:ascii="Garamond" w:hAnsi="Garamond" w:cs="Times New Roman"/>
                    </w:rPr>
                  </w:pPr>
                  <w:r w:rsidRPr="0071119F">
                    <w:rPr>
                      <w:rFonts w:ascii="Garamond" w:hAnsi="Garamond" w:cs="Times New Roman"/>
                    </w:rPr>
                    <w:t>Particulars</w:t>
                  </w:r>
                </w:p>
              </w:tc>
              <w:tc>
                <w:tcPr>
                  <w:tcW w:w="2481" w:type="dxa"/>
                </w:tcPr>
                <w:p w14:paraId="75D1165B" w14:textId="7890179F" w:rsidR="00112509" w:rsidRPr="0071119F" w:rsidRDefault="00B33EE5" w:rsidP="00112509">
                  <w:pPr>
                    <w:rPr>
                      <w:rFonts w:ascii="Garamond" w:hAnsi="Garamond" w:cs="Times New Roman"/>
                    </w:rPr>
                  </w:pPr>
                  <w:r w:rsidRPr="0071119F">
                    <w:rPr>
                      <w:rFonts w:ascii="Garamond" w:hAnsi="Garamond" w:cs="Times New Roman"/>
                    </w:rPr>
                    <w:t xml:space="preserve">    </w:t>
                  </w:r>
                  <w:r w:rsidR="00112509" w:rsidRPr="0071119F">
                    <w:rPr>
                      <w:rFonts w:ascii="Garamond" w:hAnsi="Garamond" w:cs="Times New Roman"/>
                    </w:rPr>
                    <w:t>Amount (BDT)</w:t>
                  </w:r>
                </w:p>
              </w:tc>
            </w:tr>
            <w:tr w:rsidR="0071119F" w:rsidRPr="0071119F" w14:paraId="43D64AE5" w14:textId="77777777" w:rsidTr="00853CF0">
              <w:trPr>
                <w:trHeight w:val="326"/>
              </w:trPr>
              <w:tc>
                <w:tcPr>
                  <w:tcW w:w="3487" w:type="dxa"/>
                </w:tcPr>
                <w:p w14:paraId="2D397D4D" w14:textId="0CD8796A" w:rsidR="00112509" w:rsidRPr="00311EDA" w:rsidRDefault="001D779D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Heavy Equipment</w:t>
                  </w:r>
                </w:p>
              </w:tc>
              <w:tc>
                <w:tcPr>
                  <w:tcW w:w="2481" w:type="dxa"/>
                </w:tcPr>
                <w:p w14:paraId="1188B00B" w14:textId="4374E61C" w:rsidR="00112509" w:rsidRPr="00311EDA" w:rsidRDefault="00853CF0" w:rsidP="00966EBB">
                  <w:pPr>
                    <w:jc w:val="center"/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     </w:t>
                  </w:r>
                  <w:r w:rsidR="001D779D" w:rsidRPr="00311EDA">
                    <w:rPr>
                      <w:rFonts w:ascii="Garamond" w:hAnsi="Garamond"/>
                    </w:rPr>
                    <w:t>503.00</w:t>
                  </w:r>
                  <w:r w:rsidRPr="00311EDA">
                    <w:rPr>
                      <w:rFonts w:ascii="Garamond" w:hAnsi="Garamond"/>
                    </w:rPr>
                    <w:t xml:space="preserve">mn </w:t>
                  </w:r>
                  <w:r w:rsidR="00112509" w:rsidRPr="00311EDA">
                    <w:rPr>
                      <w:rFonts w:ascii="Garamond" w:hAnsi="Garamond"/>
                    </w:rPr>
                    <w:t>(</w:t>
                  </w:r>
                  <w:r w:rsidR="00C05757" w:rsidRPr="00311EDA">
                    <w:rPr>
                      <w:rFonts w:ascii="Garamond" w:hAnsi="Garamond"/>
                    </w:rPr>
                    <w:t>40.24</w:t>
                  </w:r>
                  <w:r w:rsidR="00112509" w:rsidRPr="00311EDA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71119F" w:rsidRPr="0071119F" w14:paraId="0C2826D2" w14:textId="77777777" w:rsidTr="00853CF0">
              <w:trPr>
                <w:trHeight w:val="368"/>
              </w:trPr>
              <w:tc>
                <w:tcPr>
                  <w:tcW w:w="3487" w:type="dxa"/>
                </w:tcPr>
                <w:p w14:paraId="0F04162D" w14:textId="02D468F2" w:rsidR="00112509" w:rsidRPr="00311EDA" w:rsidRDefault="001D779D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Aggregate Processing Plant</w:t>
                  </w:r>
                </w:p>
              </w:tc>
              <w:tc>
                <w:tcPr>
                  <w:tcW w:w="2481" w:type="dxa"/>
                </w:tcPr>
                <w:p w14:paraId="2AD36DCD" w14:textId="39D8AA48" w:rsidR="00112509" w:rsidRPr="00311EDA" w:rsidRDefault="000119FD" w:rsidP="00966EBB">
                  <w:pPr>
                    <w:jc w:val="center"/>
                    <w:rPr>
                      <w:rFonts w:ascii="Garamond" w:hAnsi="Garamond"/>
                    </w:rPr>
                  </w:pPr>
                  <w:r w:rsidRPr="0071119F">
                    <w:rPr>
                      <w:rFonts w:ascii="Garamond" w:hAnsi="Garamond"/>
                    </w:rPr>
                    <w:t xml:space="preserve">     </w:t>
                  </w:r>
                  <w:r w:rsidR="00F0665C" w:rsidRPr="0071119F">
                    <w:rPr>
                      <w:rFonts w:ascii="Garamond" w:hAnsi="Garamond"/>
                    </w:rPr>
                    <w:t xml:space="preserve"> </w:t>
                  </w:r>
                  <w:r w:rsidR="001D779D" w:rsidRPr="0071119F">
                    <w:rPr>
                      <w:rFonts w:ascii="Garamond" w:hAnsi="Garamond"/>
                    </w:rPr>
                    <w:t>127</w:t>
                  </w:r>
                  <w:r w:rsidR="00C05757" w:rsidRPr="0071119F">
                    <w:rPr>
                      <w:rFonts w:ascii="Garamond" w:hAnsi="Garamond"/>
                    </w:rPr>
                    <w:t>.00</w:t>
                  </w:r>
                  <w:r w:rsidR="00853CF0" w:rsidRPr="00311EDA">
                    <w:rPr>
                      <w:rFonts w:ascii="Garamond" w:hAnsi="Garamond"/>
                    </w:rPr>
                    <w:t xml:space="preserve">mn </w:t>
                  </w:r>
                  <w:r w:rsidR="00112509" w:rsidRPr="00311EDA">
                    <w:rPr>
                      <w:rFonts w:ascii="Garamond" w:hAnsi="Garamond"/>
                    </w:rPr>
                    <w:t>(</w:t>
                  </w:r>
                  <w:r w:rsidR="00C05757" w:rsidRPr="00311EDA">
                    <w:rPr>
                      <w:rFonts w:ascii="Garamond" w:hAnsi="Garamond"/>
                    </w:rPr>
                    <w:t>10.16</w:t>
                  </w:r>
                  <w:r w:rsidR="00112509" w:rsidRPr="00311EDA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71119F" w:rsidRPr="0071119F" w14:paraId="7FB103C7" w14:textId="77777777" w:rsidTr="00853CF0">
              <w:trPr>
                <w:trHeight w:val="368"/>
              </w:trPr>
              <w:tc>
                <w:tcPr>
                  <w:tcW w:w="3487" w:type="dxa"/>
                </w:tcPr>
                <w:p w14:paraId="22298E63" w14:textId="22CF9606" w:rsidR="00B53F59" w:rsidRPr="0071119F" w:rsidRDefault="001D779D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Asphalt Plant</w:t>
                  </w:r>
                </w:p>
              </w:tc>
              <w:tc>
                <w:tcPr>
                  <w:tcW w:w="2481" w:type="dxa"/>
                </w:tcPr>
                <w:p w14:paraId="2F4831F3" w14:textId="699494BD" w:rsidR="00B53F59" w:rsidRPr="0071119F" w:rsidRDefault="00853CF0" w:rsidP="00853CF0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         </w:t>
                  </w:r>
                  <w:r w:rsidR="00C05757" w:rsidRPr="00311EDA">
                    <w:rPr>
                      <w:rFonts w:ascii="Garamond" w:hAnsi="Garamond"/>
                    </w:rPr>
                    <w:t>46.75</w:t>
                  </w:r>
                  <w:r w:rsidRPr="00311EDA">
                    <w:rPr>
                      <w:rFonts w:ascii="Garamond" w:hAnsi="Garamond"/>
                    </w:rPr>
                    <w:t>mn</w:t>
                  </w:r>
                  <w:r w:rsidR="00DB79CA" w:rsidRPr="00311EDA">
                    <w:rPr>
                      <w:rFonts w:ascii="Garamond" w:hAnsi="Garamond"/>
                    </w:rPr>
                    <w:t xml:space="preserve"> (</w:t>
                  </w:r>
                  <w:r w:rsidR="00C05757" w:rsidRPr="00311EDA">
                    <w:rPr>
                      <w:rFonts w:ascii="Garamond" w:hAnsi="Garamond"/>
                    </w:rPr>
                    <w:t>03.74</w:t>
                  </w:r>
                  <w:r w:rsidR="00DB79CA" w:rsidRPr="00311EDA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71119F" w:rsidRPr="0071119F" w14:paraId="062A102D" w14:textId="77777777" w:rsidTr="00853CF0">
              <w:trPr>
                <w:trHeight w:val="368"/>
              </w:trPr>
              <w:tc>
                <w:tcPr>
                  <w:tcW w:w="3487" w:type="dxa"/>
                </w:tcPr>
                <w:p w14:paraId="62AC3D18" w14:textId="4785609B" w:rsidR="00B53F59" w:rsidRPr="0071119F" w:rsidRDefault="001D779D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Concrete Batching Plant</w:t>
                  </w:r>
                </w:p>
              </w:tc>
              <w:tc>
                <w:tcPr>
                  <w:tcW w:w="2481" w:type="dxa"/>
                </w:tcPr>
                <w:p w14:paraId="04B09AAA" w14:textId="68D6FD5E" w:rsidR="00B53F59" w:rsidRPr="0071119F" w:rsidRDefault="00853CF0" w:rsidP="00853CF0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      </w:t>
                  </w:r>
                  <w:r w:rsidR="00DB79CA" w:rsidRPr="00311EDA">
                    <w:rPr>
                      <w:rFonts w:ascii="Garamond" w:hAnsi="Garamond"/>
                    </w:rPr>
                    <w:t xml:space="preserve">  </w:t>
                  </w:r>
                  <w:r w:rsidRPr="00311EDA">
                    <w:rPr>
                      <w:rFonts w:ascii="Garamond" w:hAnsi="Garamond"/>
                    </w:rPr>
                    <w:t xml:space="preserve"> </w:t>
                  </w:r>
                  <w:r w:rsidR="00C05757" w:rsidRPr="00311EDA">
                    <w:rPr>
                      <w:rFonts w:ascii="Garamond" w:hAnsi="Garamond"/>
                    </w:rPr>
                    <w:t>37.40</w:t>
                  </w:r>
                  <w:r w:rsidRPr="00311EDA">
                    <w:rPr>
                      <w:rFonts w:ascii="Garamond" w:hAnsi="Garamond"/>
                    </w:rPr>
                    <w:t>mn</w:t>
                  </w:r>
                  <w:r w:rsidR="00DB79CA" w:rsidRPr="00311EDA">
                    <w:rPr>
                      <w:rFonts w:ascii="Garamond" w:hAnsi="Garamond"/>
                    </w:rPr>
                    <w:t xml:space="preserve"> (</w:t>
                  </w:r>
                  <w:r w:rsidR="00C05757" w:rsidRPr="00311EDA">
                    <w:rPr>
                      <w:rFonts w:ascii="Garamond" w:hAnsi="Garamond"/>
                    </w:rPr>
                    <w:t>02.99</w:t>
                  </w:r>
                  <w:r w:rsidR="00DB79CA" w:rsidRPr="00311EDA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1D779D" w:rsidRPr="0071119F" w14:paraId="40EC2515" w14:textId="77777777" w:rsidTr="00853CF0">
              <w:trPr>
                <w:trHeight w:val="368"/>
              </w:trPr>
              <w:tc>
                <w:tcPr>
                  <w:tcW w:w="3487" w:type="dxa"/>
                </w:tcPr>
                <w:p w14:paraId="5C4B8984" w14:textId="11A8AE30" w:rsidR="001D779D" w:rsidRPr="00311EDA" w:rsidRDefault="001D779D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Warehouse and Workshop for Equipment Maintenance and Refurbishment</w:t>
                  </w:r>
                </w:p>
              </w:tc>
              <w:tc>
                <w:tcPr>
                  <w:tcW w:w="2481" w:type="dxa"/>
                </w:tcPr>
                <w:p w14:paraId="58E76A76" w14:textId="75011F58" w:rsidR="001D779D" w:rsidRPr="00311EDA" w:rsidRDefault="00C05757" w:rsidP="00853CF0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       100.85mn (08.07%)</w:t>
                  </w:r>
                </w:p>
              </w:tc>
            </w:tr>
            <w:tr w:rsidR="001D779D" w:rsidRPr="0071119F" w14:paraId="30DAF6D1" w14:textId="77777777" w:rsidTr="00853CF0">
              <w:trPr>
                <w:trHeight w:val="368"/>
              </w:trPr>
              <w:tc>
                <w:tcPr>
                  <w:tcW w:w="3487" w:type="dxa"/>
                </w:tcPr>
                <w:p w14:paraId="65D672F5" w14:textId="7D3AA979" w:rsidR="001D779D" w:rsidRPr="00311EDA" w:rsidRDefault="001D779D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Bank Loan Repayment</w:t>
                  </w:r>
                </w:p>
              </w:tc>
              <w:tc>
                <w:tcPr>
                  <w:tcW w:w="2481" w:type="dxa"/>
                </w:tcPr>
                <w:p w14:paraId="6F0513F1" w14:textId="6FFA860C" w:rsidR="001D779D" w:rsidRPr="00311EDA" w:rsidRDefault="00C05757" w:rsidP="00853CF0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      400.00mn (32.00%)</w:t>
                  </w:r>
                </w:p>
              </w:tc>
            </w:tr>
            <w:tr w:rsidR="0071119F" w:rsidRPr="0071119F" w14:paraId="5174AE32" w14:textId="77777777" w:rsidTr="00853CF0">
              <w:trPr>
                <w:trHeight w:val="313"/>
              </w:trPr>
              <w:tc>
                <w:tcPr>
                  <w:tcW w:w="3487" w:type="dxa"/>
                </w:tcPr>
                <w:p w14:paraId="0F498D9C" w14:textId="68A568D3" w:rsidR="00966EBB" w:rsidRPr="00311EDA" w:rsidRDefault="00966EBB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IPO Expenses</w:t>
                  </w:r>
                </w:p>
              </w:tc>
              <w:tc>
                <w:tcPr>
                  <w:tcW w:w="2481" w:type="dxa"/>
                </w:tcPr>
                <w:p w14:paraId="13CA42E3" w14:textId="78BCE27A" w:rsidR="00966EBB" w:rsidRPr="00311EDA" w:rsidRDefault="00853CF0" w:rsidP="00966EBB">
                  <w:pPr>
                    <w:jc w:val="center"/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     </w:t>
                  </w:r>
                  <w:r w:rsidR="00C05757" w:rsidRPr="00311EDA">
                    <w:rPr>
                      <w:rFonts w:ascii="Garamond" w:hAnsi="Garamond"/>
                    </w:rPr>
                    <w:t>35.00</w:t>
                  </w:r>
                  <w:proofErr w:type="gramStart"/>
                  <w:r w:rsidRPr="00311EDA">
                    <w:rPr>
                      <w:rFonts w:ascii="Garamond" w:hAnsi="Garamond"/>
                    </w:rPr>
                    <w:t>mn</w:t>
                  </w:r>
                  <w:r w:rsidR="00DB79CA" w:rsidRPr="00311EDA">
                    <w:rPr>
                      <w:rFonts w:ascii="Garamond" w:hAnsi="Garamond"/>
                    </w:rPr>
                    <w:t xml:space="preserve">  (</w:t>
                  </w:r>
                  <w:proofErr w:type="gramEnd"/>
                  <w:r w:rsidR="00102EE8" w:rsidRPr="00311EDA">
                    <w:rPr>
                      <w:rFonts w:ascii="Garamond" w:hAnsi="Garamond"/>
                    </w:rPr>
                    <w:t>0</w:t>
                  </w:r>
                  <w:r w:rsidR="00DB79CA" w:rsidRPr="00311EDA">
                    <w:rPr>
                      <w:rFonts w:ascii="Garamond" w:hAnsi="Garamond"/>
                    </w:rPr>
                    <w:t>2.8</w:t>
                  </w:r>
                  <w:r w:rsidR="00C05757" w:rsidRPr="00311EDA">
                    <w:rPr>
                      <w:rFonts w:ascii="Garamond" w:hAnsi="Garamond"/>
                    </w:rPr>
                    <w:t>0</w:t>
                  </w:r>
                  <w:r w:rsidR="00966EBB" w:rsidRPr="00311EDA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71119F" w:rsidRPr="0071119F" w14:paraId="3373CE5F" w14:textId="77777777" w:rsidTr="00853CF0">
              <w:trPr>
                <w:trHeight w:val="326"/>
              </w:trPr>
              <w:tc>
                <w:tcPr>
                  <w:tcW w:w="3487" w:type="dxa"/>
                </w:tcPr>
                <w:p w14:paraId="258DBAF4" w14:textId="77777777" w:rsidR="00112509" w:rsidRPr="00311EDA" w:rsidRDefault="00112509" w:rsidP="00112509">
                  <w:pPr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>Total</w:t>
                  </w:r>
                </w:p>
              </w:tc>
              <w:tc>
                <w:tcPr>
                  <w:tcW w:w="2481" w:type="dxa"/>
                </w:tcPr>
                <w:p w14:paraId="4949E8C6" w14:textId="4A82F7BB" w:rsidR="00112509" w:rsidRPr="00311EDA" w:rsidRDefault="00DB79CA" w:rsidP="00B2064D">
                  <w:pPr>
                    <w:jc w:val="center"/>
                    <w:rPr>
                      <w:rFonts w:ascii="Garamond" w:hAnsi="Garamond"/>
                    </w:rPr>
                  </w:pPr>
                  <w:r w:rsidRPr="00311EDA">
                    <w:rPr>
                      <w:rFonts w:ascii="Garamond" w:hAnsi="Garamond"/>
                    </w:rPr>
                    <w:t xml:space="preserve"> </w:t>
                  </w:r>
                  <w:r w:rsidR="00853CF0" w:rsidRPr="00311EDA">
                    <w:rPr>
                      <w:rFonts w:ascii="Garamond" w:hAnsi="Garamond"/>
                    </w:rPr>
                    <w:t xml:space="preserve"> 1,</w:t>
                  </w:r>
                  <w:r w:rsidR="00C05757" w:rsidRPr="00311EDA">
                    <w:rPr>
                      <w:rFonts w:ascii="Garamond" w:hAnsi="Garamond"/>
                    </w:rPr>
                    <w:t>25</w:t>
                  </w:r>
                  <w:r w:rsidR="00853CF0" w:rsidRPr="00311EDA">
                    <w:rPr>
                      <w:rFonts w:ascii="Garamond" w:hAnsi="Garamond"/>
                    </w:rPr>
                    <w:t xml:space="preserve">0.00mn </w:t>
                  </w:r>
                  <w:r w:rsidR="00112509" w:rsidRPr="00311EDA">
                    <w:rPr>
                      <w:rFonts w:ascii="Garamond" w:hAnsi="Garamond"/>
                    </w:rPr>
                    <w:t>(100%)</w:t>
                  </w:r>
                </w:p>
              </w:tc>
            </w:tr>
          </w:tbl>
          <w:p w14:paraId="7CC0CF33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</w:p>
        </w:tc>
      </w:tr>
      <w:tr w:rsidR="0071119F" w:rsidRPr="0071119F" w14:paraId="1D0CA187" w14:textId="77777777" w:rsidTr="00B33EE5">
        <w:trPr>
          <w:trHeight w:val="313"/>
        </w:trPr>
        <w:tc>
          <w:tcPr>
            <w:tcW w:w="3595" w:type="dxa"/>
          </w:tcPr>
          <w:p w14:paraId="3FF3AA25" w14:textId="6AEF1F7D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lastRenderedPageBreak/>
              <w:t>NAV Per Share</w:t>
            </w:r>
            <w:r w:rsidR="008A13FA" w:rsidRPr="0071119F">
              <w:rPr>
                <w:rFonts w:ascii="Garamond" w:hAnsi="Garamond" w:cs="Times New Roman"/>
              </w:rPr>
              <w:t xml:space="preserve"> (with Revaluation)</w:t>
            </w:r>
          </w:p>
        </w:tc>
        <w:tc>
          <w:tcPr>
            <w:tcW w:w="6197" w:type="dxa"/>
          </w:tcPr>
          <w:p w14:paraId="01D32A5B" w14:textId="54EF617F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Tk. </w:t>
            </w:r>
            <w:r w:rsidR="0071119F" w:rsidRPr="0071119F">
              <w:rPr>
                <w:rFonts w:ascii="Garamond" w:hAnsi="Garamond" w:cs="Times New Roman"/>
              </w:rPr>
              <w:t>34.71</w:t>
            </w:r>
            <w:r w:rsidRPr="0071119F">
              <w:rPr>
                <w:rFonts w:ascii="Garamond" w:hAnsi="Garamond" w:cs="Times New Roman"/>
              </w:rPr>
              <w:t xml:space="preserve"> as on </w:t>
            </w:r>
            <w:r w:rsidR="00102EE8" w:rsidRPr="0071119F">
              <w:rPr>
                <w:rFonts w:ascii="Garamond" w:hAnsi="Garamond" w:cs="Times New Roman"/>
              </w:rPr>
              <w:t>June 30, 2019</w:t>
            </w:r>
            <w:r w:rsidRPr="0071119F">
              <w:rPr>
                <w:rFonts w:ascii="Garamond" w:hAnsi="Garamond" w:cs="Times New Roman"/>
              </w:rPr>
              <w:t xml:space="preserve"> </w:t>
            </w:r>
          </w:p>
        </w:tc>
      </w:tr>
      <w:tr w:rsidR="0071119F" w:rsidRPr="0071119F" w14:paraId="6626CA90" w14:textId="77777777" w:rsidTr="00B33EE5">
        <w:trPr>
          <w:trHeight w:val="313"/>
        </w:trPr>
        <w:tc>
          <w:tcPr>
            <w:tcW w:w="3595" w:type="dxa"/>
          </w:tcPr>
          <w:p w14:paraId="541CCACA" w14:textId="79078628" w:rsidR="0071119F" w:rsidRPr="0071119F" w:rsidRDefault="0071119F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NAV Per Share (Excluding Revaluation)</w:t>
            </w:r>
          </w:p>
        </w:tc>
        <w:tc>
          <w:tcPr>
            <w:tcW w:w="6197" w:type="dxa"/>
          </w:tcPr>
          <w:p w14:paraId="6F9C9C58" w14:textId="62682C19" w:rsidR="0071119F" w:rsidRPr="0071119F" w:rsidRDefault="0071119F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Tk. 11.10 as on June 30,2019</w:t>
            </w:r>
          </w:p>
        </w:tc>
      </w:tr>
      <w:tr w:rsidR="0071119F" w:rsidRPr="0071119F" w14:paraId="72BA4EE7" w14:textId="77777777" w:rsidTr="00B33EE5">
        <w:trPr>
          <w:trHeight w:val="313"/>
        </w:trPr>
        <w:tc>
          <w:tcPr>
            <w:tcW w:w="3595" w:type="dxa"/>
          </w:tcPr>
          <w:p w14:paraId="089D81EE" w14:textId="2731C6AD" w:rsidR="00112509" w:rsidRPr="0071119F" w:rsidRDefault="00112509" w:rsidP="00112509">
            <w:pPr>
              <w:rPr>
                <w:rFonts w:ascii="Garamond" w:hAnsi="Garamond" w:cs="Times New Roman"/>
              </w:rPr>
            </w:pPr>
            <w:proofErr w:type="spellStart"/>
            <w:r w:rsidRPr="0071119F">
              <w:rPr>
                <w:rFonts w:ascii="Garamond" w:hAnsi="Garamond" w:cs="Times New Roman"/>
              </w:rPr>
              <w:t>Earning</w:t>
            </w:r>
            <w:proofErr w:type="spellEnd"/>
            <w:r w:rsidRPr="0071119F">
              <w:rPr>
                <w:rFonts w:ascii="Garamond" w:hAnsi="Garamond" w:cs="Times New Roman"/>
              </w:rPr>
              <w:t xml:space="preserve"> Per Share (</w:t>
            </w:r>
            <w:r w:rsidR="00102EE8" w:rsidRPr="0071119F">
              <w:rPr>
                <w:rFonts w:ascii="Garamond" w:hAnsi="Garamond" w:cs="Times New Roman"/>
              </w:rPr>
              <w:t>Basic</w:t>
            </w:r>
            <w:r w:rsidRPr="0071119F">
              <w:rPr>
                <w:rFonts w:ascii="Garamond" w:hAnsi="Garamond" w:cs="Times New Roman"/>
              </w:rPr>
              <w:t>)</w:t>
            </w:r>
          </w:p>
        </w:tc>
        <w:tc>
          <w:tcPr>
            <w:tcW w:w="6197" w:type="dxa"/>
          </w:tcPr>
          <w:p w14:paraId="07B305D8" w14:textId="6F8DC5E6" w:rsidR="00112509" w:rsidRPr="0071119F" w:rsidRDefault="00112509" w:rsidP="00112509">
            <w:pPr>
              <w:rPr>
                <w:rFonts w:ascii="Garamond" w:hAnsi="Garamond" w:cs="Times New Roman"/>
                <w:b/>
              </w:rPr>
            </w:pPr>
            <w:r w:rsidRPr="0071119F">
              <w:rPr>
                <w:rFonts w:ascii="Garamond" w:hAnsi="Garamond" w:cs="Times New Roman"/>
              </w:rPr>
              <w:t xml:space="preserve">Tk. </w:t>
            </w:r>
            <w:r w:rsidR="0071119F" w:rsidRPr="0071119F">
              <w:rPr>
                <w:rFonts w:ascii="Garamond" w:hAnsi="Garamond" w:cs="Times New Roman"/>
              </w:rPr>
              <w:t>6.32</w:t>
            </w:r>
            <w:r w:rsidRPr="0071119F">
              <w:rPr>
                <w:rFonts w:ascii="Garamond" w:hAnsi="Garamond" w:cs="Times New Roman"/>
              </w:rPr>
              <w:t xml:space="preserve"> (for the period ended </w:t>
            </w:r>
            <w:r w:rsidR="00102EE8" w:rsidRPr="0071119F">
              <w:rPr>
                <w:rFonts w:ascii="Garamond" w:hAnsi="Garamond" w:cs="Times New Roman"/>
              </w:rPr>
              <w:t>June 30, 2019</w:t>
            </w:r>
            <w:r w:rsidRPr="0071119F">
              <w:rPr>
                <w:rFonts w:ascii="Garamond" w:hAnsi="Garamond" w:cs="Times New Roman"/>
                <w:b/>
              </w:rPr>
              <w:t>)</w:t>
            </w:r>
          </w:p>
          <w:p w14:paraId="1D8E2F53" w14:textId="4BEABF20" w:rsidR="00956988" w:rsidRPr="0071119F" w:rsidRDefault="00956988" w:rsidP="00112509">
            <w:pPr>
              <w:rPr>
                <w:rFonts w:ascii="Garamond" w:hAnsi="Garamond" w:cs="Times New Roman"/>
              </w:rPr>
            </w:pPr>
          </w:p>
        </w:tc>
      </w:tr>
      <w:tr w:rsidR="0071119F" w:rsidRPr="0071119F" w14:paraId="30DB5EF4" w14:textId="77777777" w:rsidTr="00B33EE5">
        <w:trPr>
          <w:trHeight w:val="350"/>
        </w:trPr>
        <w:tc>
          <w:tcPr>
            <w:tcW w:w="3595" w:type="dxa"/>
          </w:tcPr>
          <w:p w14:paraId="3315F659" w14:textId="1F5493FB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Issue Manager</w:t>
            </w:r>
            <w:r w:rsidR="005B76FD" w:rsidRPr="0071119F">
              <w:rPr>
                <w:rFonts w:ascii="Garamond" w:hAnsi="Garamond" w:cs="Times New Roman"/>
              </w:rPr>
              <w:t>s</w:t>
            </w:r>
          </w:p>
        </w:tc>
        <w:tc>
          <w:tcPr>
            <w:tcW w:w="6197" w:type="dxa"/>
          </w:tcPr>
          <w:p w14:paraId="6C987C09" w14:textId="27130D3C" w:rsidR="00112509" w:rsidRPr="0071119F" w:rsidRDefault="0071119F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 xml:space="preserve">IDLC </w:t>
            </w:r>
            <w:r w:rsidR="008A13FA" w:rsidRPr="0071119F">
              <w:rPr>
                <w:rFonts w:ascii="Garamond" w:hAnsi="Garamond" w:cs="Times New Roman"/>
              </w:rPr>
              <w:t>Investments L</w:t>
            </w:r>
            <w:r w:rsidR="00A219FB" w:rsidRPr="0071119F">
              <w:rPr>
                <w:rFonts w:ascii="Garamond" w:hAnsi="Garamond" w:cs="Times New Roman"/>
              </w:rPr>
              <w:t>imited</w:t>
            </w:r>
          </w:p>
        </w:tc>
      </w:tr>
      <w:tr w:rsidR="000874BE" w:rsidRPr="0071119F" w14:paraId="61887D79" w14:textId="77777777" w:rsidTr="00B33EE5">
        <w:trPr>
          <w:trHeight w:val="313"/>
        </w:trPr>
        <w:tc>
          <w:tcPr>
            <w:tcW w:w="3595" w:type="dxa"/>
          </w:tcPr>
          <w:p w14:paraId="6AD68FE1" w14:textId="77777777" w:rsidR="00112509" w:rsidRPr="0071119F" w:rsidRDefault="00112509" w:rsidP="00112509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hAnsi="Garamond" w:cs="Times New Roman"/>
              </w:rPr>
              <w:t>Auditor</w:t>
            </w:r>
          </w:p>
        </w:tc>
        <w:tc>
          <w:tcPr>
            <w:tcW w:w="6197" w:type="dxa"/>
          </w:tcPr>
          <w:p w14:paraId="445A9164" w14:textId="59B29FD1" w:rsidR="00112509" w:rsidRPr="0071119F" w:rsidRDefault="0071119F" w:rsidP="00602842">
            <w:pPr>
              <w:rPr>
                <w:rFonts w:ascii="Garamond" w:hAnsi="Garamond" w:cs="Times New Roman"/>
              </w:rPr>
            </w:pPr>
            <w:r w:rsidRPr="0071119F">
              <w:rPr>
                <w:rFonts w:ascii="Garamond" w:eastAsia="Times New Roman" w:hAnsi="Garamond" w:cs="Times New Roman"/>
              </w:rPr>
              <w:t>G. Kibria &amp; Co.</w:t>
            </w:r>
            <w:r w:rsidR="00102EE8" w:rsidRPr="0071119F">
              <w:rPr>
                <w:rFonts w:ascii="Garamond" w:eastAsia="Times New Roman" w:hAnsi="Garamond" w:cs="Times New Roman"/>
              </w:rPr>
              <w:t xml:space="preserve"> </w:t>
            </w:r>
          </w:p>
        </w:tc>
      </w:tr>
    </w:tbl>
    <w:p w14:paraId="38ADC1C3" w14:textId="77777777" w:rsidR="00A872DD" w:rsidRPr="0071119F" w:rsidRDefault="001F71B1" w:rsidP="00BB69E8">
      <w:pPr>
        <w:rPr>
          <w:rFonts w:ascii="Garamond" w:hAnsi="Garamond" w:cs="Times New Roman"/>
        </w:rPr>
      </w:pPr>
    </w:p>
    <w:sectPr w:rsidR="00A872DD" w:rsidRPr="0071119F" w:rsidSect="00E66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2E4DE" w14:textId="77777777" w:rsidR="001F71B1" w:rsidRDefault="001F71B1" w:rsidP="00D06126">
      <w:pPr>
        <w:spacing w:after="0" w:line="240" w:lineRule="auto"/>
      </w:pPr>
      <w:r>
        <w:separator/>
      </w:r>
    </w:p>
  </w:endnote>
  <w:endnote w:type="continuationSeparator" w:id="0">
    <w:p w14:paraId="66B45503" w14:textId="77777777" w:rsidR="001F71B1" w:rsidRDefault="001F71B1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2C1EE" w14:textId="77777777" w:rsidR="001F71B1" w:rsidRDefault="001F71B1" w:rsidP="00D06126">
      <w:pPr>
        <w:spacing w:after="0" w:line="240" w:lineRule="auto"/>
      </w:pPr>
      <w:r>
        <w:separator/>
      </w:r>
    </w:p>
  </w:footnote>
  <w:footnote w:type="continuationSeparator" w:id="0">
    <w:p w14:paraId="0C924794" w14:textId="77777777" w:rsidR="001F71B1" w:rsidRDefault="001F71B1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EDFD" w14:textId="66AFFAAD" w:rsidR="00D06126" w:rsidRPr="0023480B" w:rsidRDefault="00C6545D" w:rsidP="00D06126">
    <w:pPr>
      <w:pStyle w:val="Header"/>
      <w:jc w:val="center"/>
      <w:rPr>
        <w:b/>
      </w:rPr>
    </w:pPr>
    <w:r>
      <w:rPr>
        <w:b/>
      </w:rPr>
      <w:t>Mir Akhter Hossain Limited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07301"/>
    <w:rsid w:val="000119FD"/>
    <w:rsid w:val="00042ACF"/>
    <w:rsid w:val="00056E57"/>
    <w:rsid w:val="00066477"/>
    <w:rsid w:val="00074F45"/>
    <w:rsid w:val="00086961"/>
    <w:rsid w:val="000874BE"/>
    <w:rsid w:val="000C6008"/>
    <w:rsid w:val="000D0A03"/>
    <w:rsid w:val="000E1378"/>
    <w:rsid w:val="001013F0"/>
    <w:rsid w:val="00102EE8"/>
    <w:rsid w:val="00106749"/>
    <w:rsid w:val="00112509"/>
    <w:rsid w:val="0019000D"/>
    <w:rsid w:val="00192E28"/>
    <w:rsid w:val="0019701D"/>
    <w:rsid w:val="001A4B19"/>
    <w:rsid w:val="001D2E39"/>
    <w:rsid w:val="001D779D"/>
    <w:rsid w:val="001F4823"/>
    <w:rsid w:val="001F71B1"/>
    <w:rsid w:val="002022EF"/>
    <w:rsid w:val="0022574E"/>
    <w:rsid w:val="0023480B"/>
    <w:rsid w:val="00246398"/>
    <w:rsid w:val="00284F4D"/>
    <w:rsid w:val="0028673A"/>
    <w:rsid w:val="00295F0A"/>
    <w:rsid w:val="002A585C"/>
    <w:rsid w:val="002A6471"/>
    <w:rsid w:val="002B0AD4"/>
    <w:rsid w:val="002B28F4"/>
    <w:rsid w:val="002B722E"/>
    <w:rsid w:val="002D4E47"/>
    <w:rsid w:val="002F1672"/>
    <w:rsid w:val="003047BC"/>
    <w:rsid w:val="00311EDA"/>
    <w:rsid w:val="003154CB"/>
    <w:rsid w:val="00385BAF"/>
    <w:rsid w:val="003906B8"/>
    <w:rsid w:val="003A37B3"/>
    <w:rsid w:val="003E187B"/>
    <w:rsid w:val="003E617C"/>
    <w:rsid w:val="003F4CCD"/>
    <w:rsid w:val="00405BDB"/>
    <w:rsid w:val="004372F7"/>
    <w:rsid w:val="00461DB0"/>
    <w:rsid w:val="004A22C6"/>
    <w:rsid w:val="004C0D89"/>
    <w:rsid w:val="004E0A66"/>
    <w:rsid w:val="004E436A"/>
    <w:rsid w:val="004F7E23"/>
    <w:rsid w:val="00540989"/>
    <w:rsid w:val="00554693"/>
    <w:rsid w:val="00565B10"/>
    <w:rsid w:val="005760E7"/>
    <w:rsid w:val="005B0C6C"/>
    <w:rsid w:val="005B5622"/>
    <w:rsid w:val="005B76FD"/>
    <w:rsid w:val="005C0DD2"/>
    <w:rsid w:val="00602842"/>
    <w:rsid w:val="00612B4B"/>
    <w:rsid w:val="006249A8"/>
    <w:rsid w:val="00635FCE"/>
    <w:rsid w:val="0064015A"/>
    <w:rsid w:val="00656302"/>
    <w:rsid w:val="00666F6C"/>
    <w:rsid w:val="006803BB"/>
    <w:rsid w:val="00683F26"/>
    <w:rsid w:val="00690EA8"/>
    <w:rsid w:val="006B59B1"/>
    <w:rsid w:val="006C07B8"/>
    <w:rsid w:val="006C51E2"/>
    <w:rsid w:val="006C6865"/>
    <w:rsid w:val="006D406A"/>
    <w:rsid w:val="006D6B3D"/>
    <w:rsid w:val="0070252C"/>
    <w:rsid w:val="0071119F"/>
    <w:rsid w:val="00733C6A"/>
    <w:rsid w:val="00741B7F"/>
    <w:rsid w:val="00775B43"/>
    <w:rsid w:val="0079008F"/>
    <w:rsid w:val="007A694A"/>
    <w:rsid w:val="007C6139"/>
    <w:rsid w:val="007D0B1C"/>
    <w:rsid w:val="007F26F3"/>
    <w:rsid w:val="007F353B"/>
    <w:rsid w:val="007F40D2"/>
    <w:rsid w:val="007F6D37"/>
    <w:rsid w:val="007F6E17"/>
    <w:rsid w:val="00825E80"/>
    <w:rsid w:val="00853CF0"/>
    <w:rsid w:val="008578EF"/>
    <w:rsid w:val="0086141D"/>
    <w:rsid w:val="00861E9C"/>
    <w:rsid w:val="008645BB"/>
    <w:rsid w:val="008672B2"/>
    <w:rsid w:val="00883772"/>
    <w:rsid w:val="00890F6D"/>
    <w:rsid w:val="0089321A"/>
    <w:rsid w:val="008A13FA"/>
    <w:rsid w:val="008A2DBD"/>
    <w:rsid w:val="008B77A8"/>
    <w:rsid w:val="00921076"/>
    <w:rsid w:val="00951997"/>
    <w:rsid w:val="00956988"/>
    <w:rsid w:val="00966EBB"/>
    <w:rsid w:val="009B6927"/>
    <w:rsid w:val="00A07871"/>
    <w:rsid w:val="00A219FB"/>
    <w:rsid w:val="00A248D4"/>
    <w:rsid w:val="00A56A7D"/>
    <w:rsid w:val="00A639D1"/>
    <w:rsid w:val="00A97561"/>
    <w:rsid w:val="00AA2610"/>
    <w:rsid w:val="00AA335E"/>
    <w:rsid w:val="00AB6BFE"/>
    <w:rsid w:val="00AD347E"/>
    <w:rsid w:val="00AE5C36"/>
    <w:rsid w:val="00AF027B"/>
    <w:rsid w:val="00AF3CE5"/>
    <w:rsid w:val="00B2064D"/>
    <w:rsid w:val="00B33EE5"/>
    <w:rsid w:val="00B3411C"/>
    <w:rsid w:val="00B34BE8"/>
    <w:rsid w:val="00B36797"/>
    <w:rsid w:val="00B53F59"/>
    <w:rsid w:val="00B62C46"/>
    <w:rsid w:val="00BB35D2"/>
    <w:rsid w:val="00BB69E8"/>
    <w:rsid w:val="00C00A11"/>
    <w:rsid w:val="00C0350C"/>
    <w:rsid w:val="00C05757"/>
    <w:rsid w:val="00C06DA2"/>
    <w:rsid w:val="00C07C2C"/>
    <w:rsid w:val="00C5364E"/>
    <w:rsid w:val="00C542EA"/>
    <w:rsid w:val="00C6545D"/>
    <w:rsid w:val="00C94110"/>
    <w:rsid w:val="00CB0F62"/>
    <w:rsid w:val="00CD2521"/>
    <w:rsid w:val="00CF41C3"/>
    <w:rsid w:val="00D04BEB"/>
    <w:rsid w:val="00D06126"/>
    <w:rsid w:val="00D06A2D"/>
    <w:rsid w:val="00D13077"/>
    <w:rsid w:val="00D25E60"/>
    <w:rsid w:val="00D32CDB"/>
    <w:rsid w:val="00D42051"/>
    <w:rsid w:val="00D50AFB"/>
    <w:rsid w:val="00D70FF1"/>
    <w:rsid w:val="00D81D4B"/>
    <w:rsid w:val="00D81FC0"/>
    <w:rsid w:val="00DB79CA"/>
    <w:rsid w:val="00E04BB4"/>
    <w:rsid w:val="00E10CF7"/>
    <w:rsid w:val="00E66973"/>
    <w:rsid w:val="00E72115"/>
    <w:rsid w:val="00E853E7"/>
    <w:rsid w:val="00E9761E"/>
    <w:rsid w:val="00EB379E"/>
    <w:rsid w:val="00EC77BE"/>
    <w:rsid w:val="00EE5BDC"/>
    <w:rsid w:val="00EF1ADA"/>
    <w:rsid w:val="00EF75A3"/>
    <w:rsid w:val="00F00D4A"/>
    <w:rsid w:val="00F0665C"/>
    <w:rsid w:val="00F158F3"/>
    <w:rsid w:val="00F64CF0"/>
    <w:rsid w:val="00F733FD"/>
    <w:rsid w:val="00F80785"/>
    <w:rsid w:val="00FB45C7"/>
    <w:rsid w:val="00FB66E2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5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</dc:creator>
  <cp:lastModifiedBy>User</cp:lastModifiedBy>
  <cp:revision>5</cp:revision>
  <cp:lastPrinted>2019-11-06T04:51:00Z</cp:lastPrinted>
  <dcterms:created xsi:type="dcterms:W3CDTF">2020-12-29T03:37:00Z</dcterms:created>
  <dcterms:modified xsi:type="dcterms:W3CDTF">2020-12-29T09:46:00Z</dcterms:modified>
</cp:coreProperties>
</file>