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739"/>
        <w:gridCol w:w="6053"/>
      </w:tblGrid>
      <w:tr w:rsidR="006C07B8" w:rsidRPr="001F3B78" w14:paraId="5927FEC1" w14:textId="77777777" w:rsidTr="001F3B78">
        <w:trPr>
          <w:trHeight w:val="639"/>
        </w:trPr>
        <w:tc>
          <w:tcPr>
            <w:tcW w:w="3775" w:type="dxa"/>
          </w:tcPr>
          <w:p w14:paraId="1D1B1BC9" w14:textId="77777777" w:rsidR="006C07B8" w:rsidRPr="00453EEC" w:rsidRDefault="006C07B8">
            <w:pPr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Address</w:t>
            </w:r>
          </w:p>
        </w:tc>
        <w:tc>
          <w:tcPr>
            <w:tcW w:w="6017" w:type="dxa"/>
          </w:tcPr>
          <w:p w14:paraId="5A1261F5" w14:textId="77777777" w:rsidR="003C1173" w:rsidRDefault="00F733FD" w:rsidP="00192E28">
            <w:pPr>
              <w:jc w:val="both"/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Reg.</w:t>
            </w:r>
            <w:r w:rsidR="00CF41C3" w:rsidRPr="00453EEC">
              <w:rPr>
                <w:rFonts w:ascii="Garamond" w:hAnsi="Garamond" w:cstheme="minorHAnsi"/>
              </w:rPr>
              <w:t xml:space="preserve"> </w:t>
            </w:r>
            <w:r w:rsidR="003C1173">
              <w:rPr>
                <w:rFonts w:ascii="Garamond" w:hAnsi="Garamond" w:cstheme="minorHAnsi"/>
              </w:rPr>
              <w:t xml:space="preserve"> &amp; Corporate </w:t>
            </w:r>
            <w:proofErr w:type="gramStart"/>
            <w:r w:rsidR="00CF41C3" w:rsidRPr="00453EEC">
              <w:rPr>
                <w:rFonts w:ascii="Garamond" w:hAnsi="Garamond" w:cstheme="minorHAnsi"/>
              </w:rPr>
              <w:t>Office:</w:t>
            </w:r>
            <w:r w:rsidR="003C1173">
              <w:rPr>
                <w:rFonts w:ascii="Garamond" w:hAnsi="Garamond" w:cstheme="minorHAnsi"/>
              </w:rPr>
              <w:t>:</w:t>
            </w:r>
            <w:proofErr w:type="gramEnd"/>
            <w:r w:rsidR="003C1173">
              <w:rPr>
                <w:rFonts w:ascii="Garamond" w:hAnsi="Garamond" w:cstheme="minorHAnsi"/>
              </w:rPr>
              <w:t xml:space="preserve"> 41, Nurani, </w:t>
            </w:r>
            <w:proofErr w:type="spellStart"/>
            <w:r w:rsidR="003C1173">
              <w:rPr>
                <w:rFonts w:ascii="Garamond" w:hAnsi="Garamond" w:cstheme="minorHAnsi"/>
              </w:rPr>
              <w:t>Bankalapara</w:t>
            </w:r>
            <w:proofErr w:type="spellEnd"/>
            <w:r w:rsidR="003C1173">
              <w:rPr>
                <w:rFonts w:ascii="Garamond" w:hAnsi="Garamond" w:cstheme="minorHAnsi"/>
              </w:rPr>
              <w:t xml:space="preserve">, </w:t>
            </w:r>
            <w:proofErr w:type="spellStart"/>
            <w:r w:rsidR="003C1173">
              <w:rPr>
                <w:rFonts w:ascii="Garamond" w:hAnsi="Garamond" w:cstheme="minorHAnsi"/>
              </w:rPr>
              <w:t>Subid</w:t>
            </w:r>
            <w:proofErr w:type="spellEnd"/>
            <w:r w:rsidR="003C1173">
              <w:rPr>
                <w:rFonts w:ascii="Garamond" w:hAnsi="Garamond" w:cstheme="minorHAnsi"/>
              </w:rPr>
              <w:t xml:space="preserve"> Bazar, Sylhet-3100 Factory : BSCIC Industrial Estate, </w:t>
            </w:r>
            <w:proofErr w:type="spellStart"/>
            <w:r w:rsidR="003C1173">
              <w:rPr>
                <w:rFonts w:ascii="Garamond" w:hAnsi="Garamond" w:cstheme="minorHAnsi"/>
              </w:rPr>
              <w:t>Khadimnagar</w:t>
            </w:r>
            <w:proofErr w:type="spellEnd"/>
            <w:r w:rsidR="003C1173">
              <w:rPr>
                <w:rFonts w:ascii="Garamond" w:hAnsi="Garamond" w:cstheme="minorHAnsi"/>
              </w:rPr>
              <w:t>, Sylhet-3103</w:t>
            </w:r>
            <w:r w:rsidR="00976C21" w:rsidRPr="00453EEC">
              <w:rPr>
                <w:rFonts w:ascii="Garamond" w:hAnsi="Garamond" w:cstheme="minorHAnsi"/>
              </w:rPr>
              <w:t>,</w:t>
            </w:r>
            <w:hyperlink r:id="rId7" w:history="1">
              <w:r w:rsidR="003C1173" w:rsidRPr="002C1010">
                <w:rPr>
                  <w:rStyle w:val="Hyperlink"/>
                  <w:rFonts w:ascii="Garamond" w:hAnsi="Garamond" w:cstheme="minorHAnsi"/>
                </w:rPr>
                <w:t>Tel:+88-08</w:t>
              </w:r>
              <w:r w:rsidR="003C1173" w:rsidRPr="002C1010">
                <w:rPr>
                  <w:rStyle w:val="Hyperlink"/>
                </w:rPr>
                <w:t>2-722241,0821-728512</w:t>
              </w:r>
            </w:hyperlink>
            <w:r w:rsidR="006C07B8" w:rsidRPr="00453EEC">
              <w:rPr>
                <w:rFonts w:ascii="Garamond" w:hAnsi="Garamond" w:cstheme="minorHAnsi"/>
              </w:rPr>
              <w:t>,Fax</w:t>
            </w:r>
            <w:r w:rsidR="003C1173">
              <w:rPr>
                <w:rFonts w:ascii="Garamond" w:hAnsi="Garamond" w:cstheme="minorHAnsi"/>
              </w:rPr>
              <w:t>:NIL</w:t>
            </w:r>
            <w:r w:rsidR="00C0350C" w:rsidRPr="00453EEC">
              <w:rPr>
                <w:rFonts w:ascii="Garamond" w:hAnsi="Garamond" w:cstheme="minorHAnsi"/>
              </w:rPr>
              <w:t>,</w:t>
            </w:r>
          </w:p>
          <w:p w14:paraId="4C5C3F62" w14:textId="44E954C3" w:rsidR="00385BAF" w:rsidRPr="00453EEC" w:rsidRDefault="00C0350C" w:rsidP="00192E28">
            <w:pPr>
              <w:jc w:val="both"/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>email:</w:t>
            </w:r>
            <w:r w:rsidR="00976C21" w:rsidRPr="00453EEC">
              <w:rPr>
                <w:rFonts w:ascii="Garamond" w:hAnsi="Garamond" w:cstheme="minorHAnsi"/>
              </w:rPr>
              <w:t xml:space="preserve"> </w:t>
            </w:r>
            <w:r w:rsidR="003C1173">
              <w:rPr>
                <w:rFonts w:ascii="Garamond" w:hAnsi="Garamond" w:cstheme="minorHAnsi"/>
              </w:rPr>
              <w:t>i</w:t>
            </w:r>
            <w:r w:rsidR="00976C21" w:rsidRPr="00453EEC">
              <w:rPr>
                <w:rFonts w:ascii="Garamond" w:hAnsi="Garamond" w:cstheme="minorHAnsi"/>
              </w:rPr>
              <w:t>nfo@</w:t>
            </w:r>
            <w:r w:rsidR="003C1173">
              <w:rPr>
                <w:rFonts w:ascii="Garamond" w:hAnsi="Garamond" w:cstheme="minorHAnsi"/>
              </w:rPr>
              <w:t>silcopharma</w:t>
            </w:r>
            <w:r w:rsidR="00976C21" w:rsidRPr="00453EEC">
              <w:rPr>
                <w:rFonts w:ascii="Garamond" w:hAnsi="Garamond" w:cstheme="minorHAnsi"/>
              </w:rPr>
              <w:t>.com</w:t>
            </w:r>
            <w:r w:rsidR="00CF41C3" w:rsidRPr="00453EEC">
              <w:rPr>
                <w:rFonts w:ascii="Garamond" w:hAnsi="Garamond" w:cstheme="minorHAnsi"/>
              </w:rPr>
              <w:t>;</w:t>
            </w:r>
          </w:p>
          <w:p w14:paraId="3405AF6F" w14:textId="71F5182C" w:rsidR="006C07B8" w:rsidRPr="00453EEC" w:rsidRDefault="00CF41C3" w:rsidP="00192E28">
            <w:pPr>
              <w:jc w:val="both"/>
              <w:rPr>
                <w:rFonts w:ascii="Garamond" w:hAnsi="Garamond" w:cstheme="minorHAnsi"/>
              </w:rPr>
            </w:pPr>
            <w:r w:rsidRPr="00453EEC">
              <w:rPr>
                <w:rFonts w:ascii="Garamond" w:hAnsi="Garamond" w:cstheme="minorHAnsi"/>
              </w:rPr>
              <w:t xml:space="preserve"> web: www.</w:t>
            </w:r>
            <w:r w:rsidR="00976C21" w:rsidRPr="00453EEC">
              <w:rPr>
                <w:rFonts w:ascii="Garamond" w:hAnsi="Garamond" w:cstheme="minorHAnsi"/>
              </w:rPr>
              <w:t xml:space="preserve"> </w:t>
            </w:r>
            <w:proofErr w:type="spellStart"/>
            <w:proofErr w:type="gramStart"/>
            <w:r w:rsidR="003C1173">
              <w:rPr>
                <w:rFonts w:ascii="Garamond" w:hAnsi="Garamond" w:cstheme="minorHAnsi"/>
              </w:rPr>
              <w:t>silcopharma</w:t>
            </w:r>
            <w:proofErr w:type="spellEnd"/>
            <w:r w:rsidR="003C1173" w:rsidRPr="00453EEC">
              <w:rPr>
                <w:rFonts w:ascii="Garamond" w:hAnsi="Garamond" w:cstheme="minorHAnsi"/>
              </w:rPr>
              <w:t>.</w:t>
            </w:r>
            <w:r w:rsidR="00976C21" w:rsidRPr="00453EEC">
              <w:rPr>
                <w:rFonts w:ascii="Garamond" w:hAnsi="Garamond" w:cstheme="minorHAnsi"/>
              </w:rPr>
              <w:t>.</w:t>
            </w:r>
            <w:proofErr w:type="gramEnd"/>
            <w:r w:rsidR="00976C21" w:rsidRPr="00453EEC">
              <w:rPr>
                <w:rFonts w:ascii="Garamond" w:hAnsi="Garamond" w:cstheme="minorHAnsi"/>
              </w:rPr>
              <w:t>com</w:t>
            </w:r>
          </w:p>
        </w:tc>
      </w:tr>
      <w:tr w:rsidR="00937532" w:rsidRPr="00937532" w14:paraId="0523BB2B" w14:textId="77777777" w:rsidTr="001F3B78">
        <w:trPr>
          <w:trHeight w:val="639"/>
        </w:trPr>
        <w:tc>
          <w:tcPr>
            <w:tcW w:w="3775" w:type="dxa"/>
          </w:tcPr>
          <w:p w14:paraId="6E650C40" w14:textId="77777777" w:rsidR="00D06126" w:rsidRPr="00937532" w:rsidRDefault="00D06126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Nature of Business</w:t>
            </w:r>
          </w:p>
        </w:tc>
        <w:tc>
          <w:tcPr>
            <w:tcW w:w="6017" w:type="dxa"/>
          </w:tcPr>
          <w:p w14:paraId="3593E0CC" w14:textId="611E5B59" w:rsidR="00D06126" w:rsidRPr="00937532" w:rsidRDefault="00684CA5" w:rsidP="00EE5BDC">
            <w:pPr>
              <w:jc w:val="both"/>
              <w:rPr>
                <w:rFonts w:ascii="Garamond" w:hAnsi="Garamond" w:cstheme="minorHAnsi"/>
              </w:rPr>
            </w:pPr>
            <w:proofErr w:type="spellStart"/>
            <w:r w:rsidRPr="00937532">
              <w:rPr>
                <w:rFonts w:ascii="Garamond" w:hAnsi="Garamond" w:cstheme="minorHAnsi"/>
              </w:rPr>
              <w:t>Silco</w:t>
            </w:r>
            <w:proofErr w:type="spellEnd"/>
            <w:r w:rsidRPr="00937532">
              <w:rPr>
                <w:rFonts w:ascii="Garamond" w:hAnsi="Garamond" w:cstheme="minorHAnsi"/>
              </w:rPr>
              <w:t xml:space="preserve"> Pharmaceuticals Limited has engaged in manufacturing and marketing of pharmaceuticals finished product in the categories of Antibiotics, Analgesics, Anti Diabetics, Narcotics, Antipyretics, Anti Inflammatory drugs, Anti </w:t>
            </w:r>
            <w:proofErr w:type="spellStart"/>
            <w:r w:rsidRPr="00937532">
              <w:rPr>
                <w:rFonts w:ascii="Garamond" w:hAnsi="Garamond" w:cstheme="minorHAnsi"/>
              </w:rPr>
              <w:t>Ulcerants</w:t>
            </w:r>
            <w:proofErr w:type="spellEnd"/>
            <w:r w:rsidRPr="00937532">
              <w:rPr>
                <w:rFonts w:ascii="Garamond" w:hAnsi="Garamond" w:cstheme="minorHAnsi"/>
              </w:rPr>
              <w:t>, Multi medicines which are sold in local market.</w:t>
            </w:r>
            <w:r w:rsidR="00EE5BDC" w:rsidRPr="00937532">
              <w:rPr>
                <w:rFonts w:ascii="Garamond" w:hAnsi="Garamond" w:cstheme="minorHAnsi"/>
              </w:rPr>
              <w:t xml:space="preserve"> </w:t>
            </w:r>
          </w:p>
        </w:tc>
      </w:tr>
      <w:tr w:rsidR="00937532" w:rsidRPr="00937532" w14:paraId="01B8E1EE" w14:textId="77777777" w:rsidTr="001F3B78">
        <w:trPr>
          <w:trHeight w:val="449"/>
        </w:trPr>
        <w:tc>
          <w:tcPr>
            <w:tcW w:w="3775" w:type="dxa"/>
          </w:tcPr>
          <w:p w14:paraId="46D017EB" w14:textId="77777777" w:rsidR="00D06126" w:rsidRPr="00937532" w:rsidRDefault="00D06126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Major Products</w:t>
            </w:r>
          </w:p>
        </w:tc>
        <w:tc>
          <w:tcPr>
            <w:tcW w:w="6017" w:type="dxa"/>
          </w:tcPr>
          <w:p w14:paraId="38326E29" w14:textId="645B5753" w:rsidR="00612B4B" w:rsidRPr="00937532" w:rsidRDefault="00BD6E6C" w:rsidP="006D406A">
            <w:pPr>
              <w:rPr>
                <w:rFonts w:ascii="Garamond" w:hAnsi="Garamond" w:cstheme="minorHAnsi"/>
              </w:rPr>
            </w:pPr>
            <w:proofErr w:type="spellStart"/>
            <w:r w:rsidRPr="00937532">
              <w:rPr>
                <w:rFonts w:ascii="Garamond" w:hAnsi="Garamond" w:cstheme="minorHAnsi"/>
              </w:rPr>
              <w:t>Silco</w:t>
            </w:r>
            <w:proofErr w:type="spellEnd"/>
            <w:r w:rsidRPr="00937532">
              <w:rPr>
                <w:rFonts w:ascii="Garamond" w:hAnsi="Garamond" w:cstheme="minorHAnsi"/>
              </w:rPr>
              <w:t xml:space="preserve"> Pharmaceuticals Limited has </w:t>
            </w:r>
            <w:r w:rsidR="00702B73" w:rsidRPr="00937532">
              <w:rPr>
                <w:rFonts w:ascii="Garamond" w:hAnsi="Garamond" w:cstheme="minorHAnsi"/>
              </w:rPr>
              <w:t>99 medicines (Biological and Non-Biological).</w:t>
            </w:r>
          </w:p>
        </w:tc>
      </w:tr>
      <w:tr w:rsidR="00937532" w:rsidRPr="00937532" w14:paraId="291E5762" w14:textId="77777777" w:rsidTr="001F3B78">
        <w:trPr>
          <w:trHeight w:val="326"/>
        </w:trPr>
        <w:tc>
          <w:tcPr>
            <w:tcW w:w="3775" w:type="dxa"/>
          </w:tcPr>
          <w:p w14:paraId="2CC0226E" w14:textId="77777777" w:rsidR="00D06126" w:rsidRPr="00937532" w:rsidRDefault="00612B4B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Market for the products</w:t>
            </w:r>
          </w:p>
        </w:tc>
        <w:tc>
          <w:tcPr>
            <w:tcW w:w="6017" w:type="dxa"/>
          </w:tcPr>
          <w:p w14:paraId="61F5ADED" w14:textId="37555373" w:rsidR="00D06126" w:rsidRPr="00937532" w:rsidRDefault="00EE5BDC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Local</w:t>
            </w:r>
            <w:r w:rsidR="00360AB0" w:rsidRPr="00937532">
              <w:rPr>
                <w:rFonts w:ascii="Garamond" w:hAnsi="Garamond" w:cstheme="minorHAnsi"/>
              </w:rPr>
              <w:t xml:space="preserve"> </w:t>
            </w:r>
            <w:r w:rsidRPr="00937532">
              <w:rPr>
                <w:rFonts w:ascii="Garamond" w:hAnsi="Garamond" w:cstheme="minorHAnsi"/>
              </w:rPr>
              <w:t xml:space="preserve">Market  </w:t>
            </w:r>
          </w:p>
        </w:tc>
      </w:tr>
      <w:tr w:rsidR="00937532" w:rsidRPr="00937532" w14:paraId="35326890" w14:textId="77777777" w:rsidTr="001F3B78">
        <w:trPr>
          <w:trHeight w:val="326"/>
        </w:trPr>
        <w:tc>
          <w:tcPr>
            <w:tcW w:w="3775" w:type="dxa"/>
          </w:tcPr>
          <w:p w14:paraId="6625FF69" w14:textId="77777777" w:rsidR="00295F0A" w:rsidRPr="00937532" w:rsidRDefault="00295F0A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BSEC’s Consent for IPO</w:t>
            </w:r>
          </w:p>
        </w:tc>
        <w:tc>
          <w:tcPr>
            <w:tcW w:w="6017" w:type="dxa"/>
          </w:tcPr>
          <w:p w14:paraId="5AC43BAE" w14:textId="75D72C9A" w:rsidR="00295F0A" w:rsidRPr="00937532" w:rsidRDefault="00702B7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February 07, 2019</w:t>
            </w:r>
          </w:p>
        </w:tc>
      </w:tr>
      <w:tr w:rsidR="00937532" w:rsidRPr="00937532" w14:paraId="599281B7" w14:textId="77777777" w:rsidTr="001F3B78">
        <w:trPr>
          <w:trHeight w:val="326"/>
        </w:trPr>
        <w:tc>
          <w:tcPr>
            <w:tcW w:w="3775" w:type="dxa"/>
          </w:tcPr>
          <w:p w14:paraId="69E23ACB" w14:textId="77777777" w:rsidR="00612B4B" w:rsidRPr="00937532" w:rsidRDefault="00612B4B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Issue Date of Prospectus</w:t>
            </w:r>
          </w:p>
        </w:tc>
        <w:tc>
          <w:tcPr>
            <w:tcW w:w="6017" w:type="dxa"/>
          </w:tcPr>
          <w:p w14:paraId="26F67FD3" w14:textId="6779F62A" w:rsidR="00612B4B" w:rsidRPr="00937532" w:rsidRDefault="00702B7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February 11, 2019</w:t>
            </w:r>
          </w:p>
        </w:tc>
      </w:tr>
      <w:tr w:rsidR="00937532" w:rsidRPr="00937532" w14:paraId="41D2EF4F" w14:textId="77777777" w:rsidTr="001F3B78">
        <w:trPr>
          <w:trHeight w:val="326"/>
        </w:trPr>
        <w:tc>
          <w:tcPr>
            <w:tcW w:w="3775" w:type="dxa"/>
          </w:tcPr>
          <w:p w14:paraId="64872EEE" w14:textId="77777777" w:rsidR="00612B4B" w:rsidRPr="00937532" w:rsidRDefault="00612B4B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Subscription Open</w:t>
            </w:r>
          </w:p>
        </w:tc>
        <w:tc>
          <w:tcPr>
            <w:tcW w:w="6017" w:type="dxa"/>
          </w:tcPr>
          <w:p w14:paraId="31205E6B" w14:textId="4616F718" w:rsidR="00612B4B" w:rsidRPr="00937532" w:rsidRDefault="00702B7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March 7, 2019</w:t>
            </w:r>
          </w:p>
        </w:tc>
      </w:tr>
      <w:tr w:rsidR="00937532" w:rsidRPr="00937532" w14:paraId="560E626A" w14:textId="77777777" w:rsidTr="001F3B78">
        <w:trPr>
          <w:trHeight w:val="326"/>
        </w:trPr>
        <w:tc>
          <w:tcPr>
            <w:tcW w:w="3775" w:type="dxa"/>
          </w:tcPr>
          <w:p w14:paraId="54338BA1" w14:textId="77777777" w:rsidR="00612B4B" w:rsidRPr="00937532" w:rsidRDefault="00612B4B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Subscription Close</w:t>
            </w:r>
          </w:p>
        </w:tc>
        <w:tc>
          <w:tcPr>
            <w:tcW w:w="6017" w:type="dxa"/>
          </w:tcPr>
          <w:p w14:paraId="588088D6" w14:textId="228B442F" w:rsidR="00612B4B" w:rsidRPr="00937532" w:rsidRDefault="00702B7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March 19, 2019</w:t>
            </w:r>
          </w:p>
        </w:tc>
      </w:tr>
      <w:tr w:rsidR="00937532" w:rsidRPr="00937532" w14:paraId="450DAF4B" w14:textId="77777777" w:rsidTr="001F3B78">
        <w:trPr>
          <w:trHeight w:val="326"/>
        </w:trPr>
        <w:tc>
          <w:tcPr>
            <w:tcW w:w="3775" w:type="dxa"/>
          </w:tcPr>
          <w:p w14:paraId="2652E22E" w14:textId="63592C6C" w:rsidR="008672B2" w:rsidRPr="00937532" w:rsidRDefault="008672B2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Security Trading Code</w:t>
            </w:r>
          </w:p>
        </w:tc>
        <w:tc>
          <w:tcPr>
            <w:tcW w:w="6017" w:type="dxa"/>
          </w:tcPr>
          <w:p w14:paraId="54BBD600" w14:textId="2901092B" w:rsidR="008672B2" w:rsidRPr="00937532" w:rsidRDefault="00702B7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SILCOPHL</w:t>
            </w:r>
          </w:p>
        </w:tc>
      </w:tr>
      <w:tr w:rsidR="00937532" w:rsidRPr="00937532" w14:paraId="22964DA9" w14:textId="77777777" w:rsidTr="001F3B78">
        <w:trPr>
          <w:trHeight w:val="326"/>
        </w:trPr>
        <w:tc>
          <w:tcPr>
            <w:tcW w:w="3775" w:type="dxa"/>
          </w:tcPr>
          <w:p w14:paraId="00E27333" w14:textId="77777777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Public Offer of Ordinary Shares</w:t>
            </w:r>
          </w:p>
        </w:tc>
        <w:tc>
          <w:tcPr>
            <w:tcW w:w="6017" w:type="dxa"/>
          </w:tcPr>
          <w:p w14:paraId="0A6A1438" w14:textId="773F987F" w:rsidR="00D04BEB" w:rsidRPr="00937532" w:rsidRDefault="00702B73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3</w:t>
            </w:r>
            <w:r w:rsidR="00360AB0" w:rsidRPr="00937532">
              <w:rPr>
                <w:rFonts w:ascii="Garamond" w:hAnsi="Garamond" w:cstheme="minorHAnsi"/>
              </w:rPr>
              <w:t>0</w:t>
            </w:r>
            <w:r w:rsidR="00D04BEB" w:rsidRPr="00937532">
              <w:rPr>
                <w:rFonts w:ascii="Garamond" w:hAnsi="Garamond" w:cstheme="minorHAnsi"/>
              </w:rPr>
              <w:t>mn</w:t>
            </w:r>
            <w:r w:rsidR="00086961" w:rsidRPr="00937532">
              <w:rPr>
                <w:rFonts w:ascii="Garamond" w:hAnsi="Garamond" w:cstheme="minorHAnsi"/>
              </w:rPr>
              <w:t xml:space="preserve"> shares</w:t>
            </w:r>
          </w:p>
        </w:tc>
      </w:tr>
      <w:tr w:rsidR="00937532" w:rsidRPr="00937532" w14:paraId="30D05EA2" w14:textId="77777777" w:rsidTr="001F3B78">
        <w:trPr>
          <w:trHeight w:val="326"/>
        </w:trPr>
        <w:tc>
          <w:tcPr>
            <w:tcW w:w="3775" w:type="dxa"/>
          </w:tcPr>
          <w:p w14:paraId="7B2E1CE7" w14:textId="77777777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 xml:space="preserve">Offer Price </w:t>
            </w:r>
          </w:p>
        </w:tc>
        <w:tc>
          <w:tcPr>
            <w:tcW w:w="6017" w:type="dxa"/>
          </w:tcPr>
          <w:p w14:paraId="3317BD92" w14:textId="77777777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Tk. 10 each (at par)</w:t>
            </w:r>
          </w:p>
        </w:tc>
      </w:tr>
      <w:tr w:rsidR="00937532" w:rsidRPr="00937532" w14:paraId="0FDC08CE" w14:textId="77777777" w:rsidTr="001F3B78">
        <w:trPr>
          <w:trHeight w:val="326"/>
        </w:trPr>
        <w:tc>
          <w:tcPr>
            <w:tcW w:w="3775" w:type="dxa"/>
          </w:tcPr>
          <w:p w14:paraId="44CB4977" w14:textId="77777777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Authorized Capital</w:t>
            </w:r>
          </w:p>
        </w:tc>
        <w:tc>
          <w:tcPr>
            <w:tcW w:w="6017" w:type="dxa"/>
          </w:tcPr>
          <w:p w14:paraId="45CE2130" w14:textId="0F72EF96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 xml:space="preserve">Tk. </w:t>
            </w:r>
            <w:r w:rsidR="00360AB0" w:rsidRPr="00937532">
              <w:rPr>
                <w:rFonts w:ascii="Garamond" w:hAnsi="Garamond" w:cstheme="minorHAnsi"/>
              </w:rPr>
              <w:t>1</w:t>
            </w:r>
            <w:r w:rsidR="006D406A" w:rsidRPr="00937532">
              <w:rPr>
                <w:rFonts w:ascii="Garamond" w:hAnsi="Garamond" w:cstheme="minorHAnsi"/>
              </w:rPr>
              <w:t>,</w:t>
            </w:r>
            <w:r w:rsidR="00360AB0" w:rsidRPr="00937532">
              <w:rPr>
                <w:rFonts w:ascii="Garamond" w:hAnsi="Garamond" w:cstheme="minorHAnsi"/>
              </w:rPr>
              <w:t>0</w:t>
            </w:r>
            <w:r w:rsidR="00702B73" w:rsidRPr="00937532">
              <w:rPr>
                <w:rFonts w:ascii="Garamond" w:hAnsi="Garamond" w:cstheme="minorHAnsi"/>
              </w:rPr>
              <w:t>5</w:t>
            </w:r>
            <w:r w:rsidRPr="00937532">
              <w:rPr>
                <w:rFonts w:ascii="Garamond" w:hAnsi="Garamond" w:cstheme="minorHAnsi"/>
              </w:rPr>
              <w:t>0</w:t>
            </w:r>
            <w:r w:rsidR="00702B73" w:rsidRPr="00937532">
              <w:rPr>
                <w:rFonts w:ascii="Garamond" w:hAnsi="Garamond" w:cstheme="minorHAnsi"/>
              </w:rPr>
              <w:t>.00</w:t>
            </w:r>
            <w:r w:rsidRPr="00937532">
              <w:rPr>
                <w:rFonts w:ascii="Garamond" w:hAnsi="Garamond" w:cstheme="minorHAnsi"/>
              </w:rPr>
              <w:t>mn</w:t>
            </w:r>
          </w:p>
        </w:tc>
      </w:tr>
      <w:tr w:rsidR="00937532" w:rsidRPr="00937532" w14:paraId="498C0E68" w14:textId="77777777" w:rsidTr="001F3B78">
        <w:trPr>
          <w:trHeight w:val="326"/>
        </w:trPr>
        <w:tc>
          <w:tcPr>
            <w:tcW w:w="3775" w:type="dxa"/>
          </w:tcPr>
          <w:p w14:paraId="074A7C90" w14:textId="77777777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Pre-IPO Paid-up Capital</w:t>
            </w:r>
          </w:p>
        </w:tc>
        <w:tc>
          <w:tcPr>
            <w:tcW w:w="6017" w:type="dxa"/>
          </w:tcPr>
          <w:p w14:paraId="4F995CDB" w14:textId="51851E56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 xml:space="preserve">Tk. </w:t>
            </w:r>
            <w:r w:rsidR="00360AB0" w:rsidRPr="00937532">
              <w:rPr>
                <w:rFonts w:ascii="Garamond" w:hAnsi="Garamond" w:cstheme="minorHAnsi"/>
              </w:rPr>
              <w:t>6</w:t>
            </w:r>
            <w:r w:rsidR="00702B73" w:rsidRPr="00937532">
              <w:rPr>
                <w:rFonts w:ascii="Garamond" w:hAnsi="Garamond" w:cstheme="minorHAnsi"/>
              </w:rPr>
              <w:t>43.70</w:t>
            </w:r>
            <w:r w:rsidRPr="00937532">
              <w:rPr>
                <w:rFonts w:ascii="Garamond" w:hAnsi="Garamond" w:cstheme="minorHAnsi"/>
              </w:rPr>
              <w:t>mn</w:t>
            </w:r>
          </w:p>
        </w:tc>
      </w:tr>
      <w:tr w:rsidR="00937532" w:rsidRPr="00937532" w14:paraId="3D7DC843" w14:textId="77777777" w:rsidTr="001F3B78">
        <w:trPr>
          <w:trHeight w:val="326"/>
        </w:trPr>
        <w:tc>
          <w:tcPr>
            <w:tcW w:w="3775" w:type="dxa"/>
          </w:tcPr>
          <w:p w14:paraId="1D118540" w14:textId="77777777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 xml:space="preserve">IPO Size </w:t>
            </w:r>
          </w:p>
        </w:tc>
        <w:tc>
          <w:tcPr>
            <w:tcW w:w="6017" w:type="dxa"/>
          </w:tcPr>
          <w:p w14:paraId="44319715" w14:textId="1D690D93" w:rsidR="00D04BEB" w:rsidRPr="00937532" w:rsidRDefault="00D04BEB" w:rsidP="00D717F3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Tk.</w:t>
            </w:r>
            <w:r w:rsidR="00192E28" w:rsidRPr="00937532">
              <w:rPr>
                <w:rFonts w:ascii="Garamond" w:hAnsi="Garamond" w:cstheme="minorHAnsi"/>
              </w:rPr>
              <w:t xml:space="preserve"> </w:t>
            </w:r>
            <w:r w:rsidR="00702B73" w:rsidRPr="00937532">
              <w:rPr>
                <w:rFonts w:ascii="Garamond" w:hAnsi="Garamond" w:cstheme="minorHAnsi"/>
              </w:rPr>
              <w:t>3</w:t>
            </w:r>
            <w:r w:rsidR="00360AB0" w:rsidRPr="00937532">
              <w:rPr>
                <w:rFonts w:ascii="Garamond" w:hAnsi="Garamond" w:cstheme="minorHAnsi"/>
              </w:rPr>
              <w:t>0</w:t>
            </w:r>
            <w:r w:rsidRPr="00937532">
              <w:rPr>
                <w:rFonts w:ascii="Garamond" w:hAnsi="Garamond" w:cstheme="minorHAnsi"/>
              </w:rPr>
              <w:t>0</w:t>
            </w:r>
            <w:r w:rsidR="00702B73" w:rsidRPr="00937532">
              <w:rPr>
                <w:rFonts w:ascii="Garamond" w:hAnsi="Garamond" w:cstheme="minorHAnsi"/>
              </w:rPr>
              <w:t>.00</w:t>
            </w:r>
            <w:r w:rsidRPr="00937532">
              <w:rPr>
                <w:rFonts w:ascii="Garamond" w:hAnsi="Garamond" w:cstheme="minorHAnsi"/>
              </w:rPr>
              <w:t>mn</w:t>
            </w:r>
          </w:p>
        </w:tc>
      </w:tr>
      <w:tr w:rsidR="00937532" w:rsidRPr="00937532" w14:paraId="6BC81EAB" w14:textId="77777777" w:rsidTr="001F3B78">
        <w:trPr>
          <w:trHeight w:val="326"/>
        </w:trPr>
        <w:tc>
          <w:tcPr>
            <w:tcW w:w="3775" w:type="dxa"/>
          </w:tcPr>
          <w:p w14:paraId="1D787EB2" w14:textId="77777777" w:rsidR="00D04BEB" w:rsidRPr="00937532" w:rsidRDefault="00D04BEB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Post IPO Paid-up Capital</w:t>
            </w:r>
          </w:p>
        </w:tc>
        <w:tc>
          <w:tcPr>
            <w:tcW w:w="6017" w:type="dxa"/>
          </w:tcPr>
          <w:p w14:paraId="32A129AA" w14:textId="1BBF6EFB" w:rsidR="00D04BEB" w:rsidRPr="00937532" w:rsidRDefault="00D04BEB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Tk.</w:t>
            </w:r>
            <w:r w:rsidR="00192E28" w:rsidRPr="00937532">
              <w:rPr>
                <w:rFonts w:ascii="Garamond" w:hAnsi="Garamond" w:cstheme="minorHAnsi"/>
              </w:rPr>
              <w:t xml:space="preserve"> </w:t>
            </w:r>
            <w:r w:rsidR="00702B73" w:rsidRPr="00937532">
              <w:rPr>
                <w:rFonts w:ascii="Garamond" w:hAnsi="Garamond" w:cstheme="minorHAnsi"/>
              </w:rPr>
              <w:t>943.70</w:t>
            </w:r>
            <w:r w:rsidRPr="00937532">
              <w:rPr>
                <w:rFonts w:ascii="Garamond" w:hAnsi="Garamond" w:cstheme="minorHAnsi"/>
              </w:rPr>
              <w:t>mn</w:t>
            </w:r>
          </w:p>
        </w:tc>
      </w:tr>
      <w:tr w:rsidR="00937532" w:rsidRPr="00937532" w14:paraId="3A447882" w14:textId="77777777" w:rsidTr="001F3B78">
        <w:trPr>
          <w:trHeight w:val="359"/>
        </w:trPr>
        <w:tc>
          <w:tcPr>
            <w:tcW w:w="3775" w:type="dxa"/>
          </w:tcPr>
          <w:p w14:paraId="774D83FF" w14:textId="7D519EC6" w:rsidR="00D04BEB" w:rsidRPr="00937532" w:rsidRDefault="00D04BEB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Min</w:t>
            </w:r>
            <w:r w:rsidR="007F6E17" w:rsidRPr="00937532">
              <w:rPr>
                <w:rFonts w:ascii="Garamond" w:hAnsi="Garamond" w:cstheme="minorHAnsi"/>
              </w:rPr>
              <w:t xml:space="preserve">. </w:t>
            </w:r>
            <w:r w:rsidR="00951997" w:rsidRPr="00937532">
              <w:rPr>
                <w:rFonts w:ascii="Garamond" w:hAnsi="Garamond" w:cstheme="minorHAnsi"/>
              </w:rPr>
              <w:t>size for IPO subscription</w:t>
            </w:r>
            <w:r w:rsidR="00C542EA" w:rsidRPr="00937532">
              <w:rPr>
                <w:rFonts w:ascii="Garamond" w:hAnsi="Garamond" w:cstheme="minorHAnsi"/>
              </w:rPr>
              <w:t xml:space="preserve"> </w:t>
            </w:r>
            <w:r w:rsidR="007F6E17" w:rsidRPr="00937532">
              <w:rPr>
                <w:rFonts w:ascii="Garamond" w:hAnsi="Garamond" w:cstheme="minorHAnsi"/>
              </w:rPr>
              <w:t>(per lot)</w:t>
            </w:r>
          </w:p>
        </w:tc>
        <w:tc>
          <w:tcPr>
            <w:tcW w:w="6017" w:type="dxa"/>
          </w:tcPr>
          <w:p w14:paraId="73CDD3D5" w14:textId="77777777" w:rsidR="00D04BEB" w:rsidRPr="00937532" w:rsidRDefault="00951997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500</w:t>
            </w:r>
          </w:p>
        </w:tc>
      </w:tr>
      <w:tr w:rsidR="00937532" w:rsidRPr="00937532" w14:paraId="4B60E3FD" w14:textId="77777777" w:rsidTr="001F3B78">
        <w:trPr>
          <w:trHeight w:val="485"/>
        </w:trPr>
        <w:tc>
          <w:tcPr>
            <w:tcW w:w="3775" w:type="dxa"/>
          </w:tcPr>
          <w:p w14:paraId="6FCFDCE1" w14:textId="77777777" w:rsidR="00D04BEB" w:rsidRPr="00937532" w:rsidRDefault="00C542EA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Foreign Currency reqd. for NRB and Foreign Applicants (per Lot)</w:t>
            </w:r>
          </w:p>
        </w:tc>
        <w:tc>
          <w:tcPr>
            <w:tcW w:w="6017" w:type="dxa"/>
          </w:tcPr>
          <w:p w14:paraId="145992C9" w14:textId="7FD00215" w:rsidR="00D04BEB" w:rsidRPr="00937532" w:rsidRDefault="00702B73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USD 60.10or GBP 46.61or EUR 53.36</w:t>
            </w:r>
          </w:p>
        </w:tc>
      </w:tr>
      <w:tr w:rsidR="00937532" w:rsidRPr="00937532" w14:paraId="0BD9DCAE" w14:textId="77777777" w:rsidTr="001F3B78">
        <w:trPr>
          <w:trHeight w:val="530"/>
        </w:trPr>
        <w:tc>
          <w:tcPr>
            <w:tcW w:w="3775" w:type="dxa"/>
          </w:tcPr>
          <w:p w14:paraId="5F1738E0" w14:textId="77777777" w:rsidR="00D04BEB" w:rsidRPr="00937532" w:rsidRDefault="00295F0A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Use of IPO proceeds</w:t>
            </w:r>
          </w:p>
        </w:tc>
        <w:tc>
          <w:tcPr>
            <w:tcW w:w="6017" w:type="dxa"/>
          </w:tcPr>
          <w:tbl>
            <w:tblPr>
              <w:tblStyle w:val="TableGrid"/>
              <w:tblW w:w="5827" w:type="dxa"/>
              <w:tblLook w:val="04A0" w:firstRow="1" w:lastRow="0" w:firstColumn="1" w:lastColumn="0" w:noHBand="0" w:noVBand="1"/>
            </w:tblPr>
            <w:tblGrid>
              <w:gridCol w:w="3793"/>
              <w:gridCol w:w="2034"/>
            </w:tblGrid>
            <w:tr w:rsidR="00937532" w:rsidRPr="00937532" w14:paraId="71538C47" w14:textId="77777777" w:rsidTr="00946113">
              <w:trPr>
                <w:trHeight w:val="326"/>
              </w:trPr>
              <w:tc>
                <w:tcPr>
                  <w:tcW w:w="3793" w:type="dxa"/>
                </w:tcPr>
                <w:p w14:paraId="18EDCCA8" w14:textId="77777777" w:rsidR="00295F0A" w:rsidRPr="00937532" w:rsidRDefault="00295F0A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Particulars</w:t>
                  </w:r>
                </w:p>
              </w:tc>
              <w:tc>
                <w:tcPr>
                  <w:tcW w:w="2034" w:type="dxa"/>
                </w:tcPr>
                <w:p w14:paraId="75D1165B" w14:textId="77777777" w:rsidR="00295F0A" w:rsidRPr="00937532" w:rsidRDefault="00295F0A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Amount (BDT)</w:t>
                  </w:r>
                </w:p>
              </w:tc>
            </w:tr>
            <w:tr w:rsidR="00937532" w:rsidRPr="00937532" w14:paraId="43D64AE5" w14:textId="77777777" w:rsidTr="00946113">
              <w:trPr>
                <w:trHeight w:val="326"/>
              </w:trPr>
              <w:tc>
                <w:tcPr>
                  <w:tcW w:w="3793" w:type="dxa"/>
                </w:tcPr>
                <w:p w14:paraId="2D397D4D" w14:textId="41ADA1FD" w:rsidR="00E853E7" w:rsidRPr="00937532" w:rsidRDefault="00946113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Factory Building Construction</w:t>
                  </w:r>
                </w:p>
              </w:tc>
              <w:tc>
                <w:tcPr>
                  <w:tcW w:w="2034" w:type="dxa"/>
                </w:tcPr>
                <w:p w14:paraId="1188B00B" w14:textId="444DAB02" w:rsidR="00E853E7" w:rsidRPr="00937532" w:rsidRDefault="00360AB0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1</w:t>
                  </w:r>
                  <w:r w:rsidR="00946113" w:rsidRPr="00937532">
                    <w:rPr>
                      <w:rFonts w:ascii="Garamond" w:hAnsi="Garamond" w:cstheme="minorHAnsi"/>
                    </w:rPr>
                    <w:t>44.66</w:t>
                  </w:r>
                  <w:r w:rsidR="00CB0F62" w:rsidRPr="00937532">
                    <w:rPr>
                      <w:rFonts w:ascii="Garamond" w:hAnsi="Garamond" w:cstheme="minorHAnsi"/>
                    </w:rPr>
                    <w:t xml:space="preserve">mn </w:t>
                  </w:r>
                  <w:r w:rsidR="00E72115" w:rsidRPr="00937532">
                    <w:rPr>
                      <w:rFonts w:ascii="Garamond" w:hAnsi="Garamond" w:cstheme="minorHAnsi"/>
                    </w:rPr>
                    <w:t>(</w:t>
                  </w:r>
                  <w:r w:rsidR="00946113" w:rsidRPr="00937532">
                    <w:rPr>
                      <w:rFonts w:ascii="Garamond" w:hAnsi="Garamond" w:cstheme="minorHAnsi"/>
                    </w:rPr>
                    <w:t>48.22</w:t>
                  </w:r>
                  <w:r w:rsidR="00E72115" w:rsidRPr="00937532">
                    <w:rPr>
                      <w:rFonts w:ascii="Garamond" w:hAnsi="Garamond" w:cstheme="minorHAnsi"/>
                    </w:rPr>
                    <w:t>%)</w:t>
                  </w:r>
                </w:p>
              </w:tc>
            </w:tr>
            <w:tr w:rsidR="00937532" w:rsidRPr="00937532" w14:paraId="0C2826D2" w14:textId="77777777" w:rsidTr="00946113">
              <w:trPr>
                <w:trHeight w:val="639"/>
              </w:trPr>
              <w:tc>
                <w:tcPr>
                  <w:tcW w:w="3793" w:type="dxa"/>
                </w:tcPr>
                <w:p w14:paraId="0F04162D" w14:textId="338313FE" w:rsidR="00295F0A" w:rsidRPr="00937532" w:rsidRDefault="00946113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Existing Machinery Modernization, QC Lab Equipment</w:t>
                  </w:r>
                </w:p>
              </w:tc>
              <w:tc>
                <w:tcPr>
                  <w:tcW w:w="2034" w:type="dxa"/>
                </w:tcPr>
                <w:p w14:paraId="2AD36DCD" w14:textId="6151A853" w:rsidR="00295F0A" w:rsidRPr="00937532" w:rsidRDefault="00CB0F62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 xml:space="preserve"> </w:t>
                  </w:r>
                  <w:r w:rsidR="00946113" w:rsidRPr="00937532">
                    <w:rPr>
                      <w:rFonts w:ascii="Garamond" w:hAnsi="Garamond" w:cstheme="minorHAnsi"/>
                    </w:rPr>
                    <w:t>97.35</w:t>
                  </w:r>
                  <w:r w:rsidR="00360AB0" w:rsidRPr="00937532">
                    <w:rPr>
                      <w:rFonts w:ascii="Garamond" w:hAnsi="Garamond" w:cstheme="minorHAnsi"/>
                    </w:rPr>
                    <w:t>mn</w:t>
                  </w:r>
                  <w:r w:rsidRPr="00937532">
                    <w:rPr>
                      <w:rFonts w:ascii="Garamond" w:hAnsi="Garamond" w:cstheme="minorHAnsi"/>
                    </w:rPr>
                    <w:t xml:space="preserve"> </w:t>
                  </w:r>
                  <w:r w:rsidR="00295F0A" w:rsidRPr="00937532">
                    <w:rPr>
                      <w:rFonts w:ascii="Garamond" w:hAnsi="Garamond" w:cstheme="minorHAnsi"/>
                    </w:rPr>
                    <w:t>(</w:t>
                  </w:r>
                  <w:r w:rsidR="00D87BFB" w:rsidRPr="00937532">
                    <w:rPr>
                      <w:rFonts w:ascii="Garamond" w:hAnsi="Garamond" w:cstheme="minorHAnsi"/>
                    </w:rPr>
                    <w:t>3</w:t>
                  </w:r>
                  <w:r w:rsidR="00946113" w:rsidRPr="00937532">
                    <w:rPr>
                      <w:rFonts w:ascii="Garamond" w:hAnsi="Garamond" w:cstheme="minorHAnsi"/>
                    </w:rPr>
                    <w:t>2.45</w:t>
                  </w:r>
                  <w:r w:rsidR="00295F0A" w:rsidRPr="00937532">
                    <w:rPr>
                      <w:rFonts w:ascii="Garamond" w:hAnsi="Garamond" w:cstheme="minorHAnsi"/>
                    </w:rPr>
                    <w:t>%)</w:t>
                  </w:r>
                </w:p>
              </w:tc>
            </w:tr>
            <w:tr w:rsidR="00937532" w:rsidRPr="00937532" w14:paraId="69EF89FE" w14:textId="77777777" w:rsidTr="00946113">
              <w:trPr>
                <w:trHeight w:val="313"/>
              </w:trPr>
              <w:tc>
                <w:tcPr>
                  <w:tcW w:w="3793" w:type="dxa"/>
                </w:tcPr>
                <w:p w14:paraId="3ADD40BE" w14:textId="0E670BB8" w:rsidR="00295F0A" w:rsidRPr="00937532" w:rsidRDefault="00946113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Delivery Van &amp; Other Vehicles</w:t>
                  </w:r>
                </w:p>
              </w:tc>
              <w:tc>
                <w:tcPr>
                  <w:tcW w:w="2034" w:type="dxa"/>
                </w:tcPr>
                <w:p w14:paraId="55098992" w14:textId="62929AA1" w:rsidR="00295F0A" w:rsidRPr="00937532" w:rsidRDefault="00CB0F62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 xml:space="preserve">  </w:t>
                  </w:r>
                  <w:r w:rsidR="00946113" w:rsidRPr="00937532">
                    <w:rPr>
                      <w:rFonts w:ascii="Garamond" w:hAnsi="Garamond" w:cstheme="minorHAnsi"/>
                    </w:rPr>
                    <w:t>36.31</w:t>
                  </w:r>
                  <w:r w:rsidRPr="00937532">
                    <w:rPr>
                      <w:rFonts w:ascii="Garamond" w:hAnsi="Garamond" w:cstheme="minorHAnsi"/>
                    </w:rPr>
                    <w:t xml:space="preserve">mn </w:t>
                  </w:r>
                  <w:r w:rsidR="00F80785" w:rsidRPr="00937532">
                    <w:rPr>
                      <w:rFonts w:ascii="Garamond" w:hAnsi="Garamond" w:cstheme="minorHAnsi"/>
                    </w:rPr>
                    <w:t>(</w:t>
                  </w:r>
                  <w:r w:rsidR="00946113" w:rsidRPr="00937532">
                    <w:rPr>
                      <w:rFonts w:ascii="Garamond" w:hAnsi="Garamond" w:cstheme="minorHAnsi"/>
                    </w:rPr>
                    <w:t>12.10</w:t>
                  </w:r>
                  <w:r w:rsidR="00F80785" w:rsidRPr="00937532">
                    <w:rPr>
                      <w:rFonts w:ascii="Garamond" w:hAnsi="Garamond" w:cstheme="minorHAnsi"/>
                    </w:rPr>
                    <w:t>%)</w:t>
                  </w:r>
                </w:p>
              </w:tc>
            </w:tr>
            <w:tr w:rsidR="00946113" w:rsidRPr="00937532" w14:paraId="4C8C5B60" w14:textId="77777777" w:rsidTr="00946113">
              <w:trPr>
                <w:trHeight w:val="313"/>
              </w:trPr>
              <w:tc>
                <w:tcPr>
                  <w:tcW w:w="3793" w:type="dxa"/>
                </w:tcPr>
                <w:p w14:paraId="364B8EB7" w14:textId="3A590FD7" w:rsidR="00946113" w:rsidRPr="00937532" w:rsidRDefault="00946113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IPO Expenses</w:t>
                  </w:r>
                </w:p>
              </w:tc>
              <w:tc>
                <w:tcPr>
                  <w:tcW w:w="2034" w:type="dxa"/>
                </w:tcPr>
                <w:p w14:paraId="0BAED0C9" w14:textId="2142789C" w:rsidR="00946113" w:rsidRPr="00937532" w:rsidRDefault="00946113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 xml:space="preserve"> 21.68mn (07.23%)</w:t>
                  </w:r>
                </w:p>
              </w:tc>
            </w:tr>
            <w:tr w:rsidR="00937532" w:rsidRPr="00937532" w14:paraId="3373CE5F" w14:textId="77777777" w:rsidTr="00946113">
              <w:trPr>
                <w:trHeight w:val="326"/>
              </w:trPr>
              <w:tc>
                <w:tcPr>
                  <w:tcW w:w="3793" w:type="dxa"/>
                </w:tcPr>
                <w:p w14:paraId="258DBAF4" w14:textId="77777777" w:rsidR="00295F0A" w:rsidRPr="00937532" w:rsidRDefault="00F80785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Total</w:t>
                  </w:r>
                </w:p>
              </w:tc>
              <w:tc>
                <w:tcPr>
                  <w:tcW w:w="2034" w:type="dxa"/>
                </w:tcPr>
                <w:p w14:paraId="4949E8C6" w14:textId="19A13203" w:rsidR="00295F0A" w:rsidRPr="00937532" w:rsidRDefault="00946113" w:rsidP="008578EF">
                  <w:pPr>
                    <w:rPr>
                      <w:rFonts w:ascii="Garamond" w:hAnsi="Garamond" w:cstheme="minorHAnsi"/>
                    </w:rPr>
                  </w:pPr>
                  <w:r w:rsidRPr="00937532">
                    <w:rPr>
                      <w:rFonts w:ascii="Garamond" w:hAnsi="Garamond" w:cstheme="minorHAnsi"/>
                    </w:rPr>
                    <w:t>3</w:t>
                  </w:r>
                  <w:r w:rsidR="00D87BFB" w:rsidRPr="00937532">
                    <w:rPr>
                      <w:rFonts w:ascii="Garamond" w:hAnsi="Garamond" w:cstheme="minorHAnsi"/>
                    </w:rPr>
                    <w:t>0</w:t>
                  </w:r>
                  <w:r w:rsidR="00F80785" w:rsidRPr="00937532">
                    <w:rPr>
                      <w:rFonts w:ascii="Garamond" w:hAnsi="Garamond" w:cstheme="minorHAnsi"/>
                    </w:rPr>
                    <w:t>0</w:t>
                  </w:r>
                  <w:r w:rsidR="005B5622" w:rsidRPr="00937532">
                    <w:rPr>
                      <w:rFonts w:ascii="Garamond" w:hAnsi="Garamond" w:cstheme="minorHAnsi"/>
                    </w:rPr>
                    <w:t>.</w:t>
                  </w:r>
                  <w:r w:rsidR="00F80785" w:rsidRPr="00937532">
                    <w:rPr>
                      <w:rFonts w:ascii="Garamond" w:hAnsi="Garamond" w:cstheme="minorHAnsi"/>
                    </w:rPr>
                    <w:t>00</w:t>
                  </w:r>
                  <w:r w:rsidR="005B5622" w:rsidRPr="00937532">
                    <w:rPr>
                      <w:rFonts w:ascii="Garamond" w:hAnsi="Garamond" w:cstheme="minorHAnsi"/>
                    </w:rPr>
                    <w:t>mn</w:t>
                  </w:r>
                  <w:r w:rsidR="00F80785" w:rsidRPr="00937532">
                    <w:rPr>
                      <w:rFonts w:ascii="Garamond" w:hAnsi="Garamond" w:cstheme="minorHAnsi"/>
                    </w:rPr>
                    <w:t xml:space="preserve"> (100%)</w:t>
                  </w:r>
                </w:p>
              </w:tc>
            </w:tr>
          </w:tbl>
          <w:p w14:paraId="7CC0CF33" w14:textId="77777777" w:rsidR="00D04BEB" w:rsidRPr="00937532" w:rsidRDefault="00D04BEB" w:rsidP="008578EF">
            <w:pPr>
              <w:rPr>
                <w:rFonts w:ascii="Garamond" w:hAnsi="Garamond" w:cstheme="minorHAnsi"/>
              </w:rPr>
            </w:pPr>
          </w:p>
        </w:tc>
      </w:tr>
      <w:tr w:rsidR="00937532" w:rsidRPr="00937532" w14:paraId="1D0CA187" w14:textId="77777777" w:rsidTr="001F3B78">
        <w:trPr>
          <w:trHeight w:val="313"/>
        </w:trPr>
        <w:tc>
          <w:tcPr>
            <w:tcW w:w="3775" w:type="dxa"/>
          </w:tcPr>
          <w:p w14:paraId="3FF3AA25" w14:textId="747EAF64" w:rsidR="00F80785" w:rsidRPr="00937532" w:rsidRDefault="00F80785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NAV Per Share</w:t>
            </w:r>
            <w:r w:rsidR="001F3B78" w:rsidRPr="00937532">
              <w:rPr>
                <w:rFonts w:ascii="Garamond" w:hAnsi="Garamond" w:cstheme="minorHAnsi"/>
              </w:rPr>
              <w:t xml:space="preserve"> </w:t>
            </w:r>
          </w:p>
        </w:tc>
        <w:tc>
          <w:tcPr>
            <w:tcW w:w="6017" w:type="dxa"/>
          </w:tcPr>
          <w:p w14:paraId="01D32A5B" w14:textId="2EE001EA" w:rsidR="00F80785" w:rsidRPr="00937532" w:rsidRDefault="00F80785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 xml:space="preserve">Tk. </w:t>
            </w:r>
            <w:r w:rsidR="00937532" w:rsidRPr="00937532">
              <w:rPr>
                <w:rFonts w:ascii="Garamond" w:hAnsi="Garamond" w:cstheme="minorHAnsi"/>
              </w:rPr>
              <w:t>27.05</w:t>
            </w:r>
            <w:r w:rsidRPr="00937532">
              <w:rPr>
                <w:rFonts w:ascii="Garamond" w:hAnsi="Garamond" w:cstheme="minorHAnsi"/>
              </w:rPr>
              <w:t xml:space="preserve"> as on</w:t>
            </w:r>
            <w:r w:rsidR="00741B7F" w:rsidRPr="00937532">
              <w:rPr>
                <w:rFonts w:ascii="Garamond" w:hAnsi="Garamond" w:cstheme="minorHAnsi"/>
              </w:rPr>
              <w:t xml:space="preserve"> June 30, 201</w:t>
            </w:r>
            <w:r w:rsidR="00937532" w:rsidRPr="00937532">
              <w:rPr>
                <w:rFonts w:ascii="Garamond" w:hAnsi="Garamond" w:cstheme="minorHAnsi"/>
              </w:rPr>
              <w:t>8</w:t>
            </w:r>
            <w:r w:rsidR="00741B7F" w:rsidRPr="00937532">
              <w:rPr>
                <w:rFonts w:ascii="Garamond" w:hAnsi="Garamond" w:cstheme="minorHAnsi"/>
              </w:rPr>
              <w:t xml:space="preserve"> </w:t>
            </w:r>
          </w:p>
        </w:tc>
      </w:tr>
      <w:tr w:rsidR="00937532" w:rsidRPr="00937532" w14:paraId="72BA4EE7" w14:textId="77777777" w:rsidTr="001F3B78">
        <w:trPr>
          <w:trHeight w:val="313"/>
        </w:trPr>
        <w:tc>
          <w:tcPr>
            <w:tcW w:w="3775" w:type="dxa"/>
          </w:tcPr>
          <w:p w14:paraId="089D81EE" w14:textId="77777777" w:rsidR="00F80785" w:rsidRPr="00937532" w:rsidRDefault="00F80785" w:rsidP="008578EF">
            <w:pPr>
              <w:rPr>
                <w:rFonts w:ascii="Garamond" w:hAnsi="Garamond" w:cstheme="minorHAnsi"/>
              </w:rPr>
            </w:pPr>
            <w:proofErr w:type="spellStart"/>
            <w:r w:rsidRPr="00937532">
              <w:rPr>
                <w:rFonts w:ascii="Garamond" w:hAnsi="Garamond" w:cstheme="minorHAnsi"/>
              </w:rPr>
              <w:t>Earning</w:t>
            </w:r>
            <w:proofErr w:type="spellEnd"/>
            <w:r w:rsidRPr="00937532">
              <w:rPr>
                <w:rFonts w:ascii="Garamond" w:hAnsi="Garamond" w:cstheme="minorHAnsi"/>
              </w:rPr>
              <w:t xml:space="preserve"> Per Share (EPS)</w:t>
            </w:r>
          </w:p>
        </w:tc>
        <w:tc>
          <w:tcPr>
            <w:tcW w:w="6017" w:type="dxa"/>
          </w:tcPr>
          <w:p w14:paraId="1D8E2F53" w14:textId="01297879" w:rsidR="00F80785" w:rsidRPr="00937532" w:rsidRDefault="00F80785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 xml:space="preserve">Tk. </w:t>
            </w:r>
            <w:r w:rsidR="00937532" w:rsidRPr="00937532">
              <w:rPr>
                <w:rFonts w:ascii="Garamond" w:hAnsi="Garamond" w:cstheme="minorHAnsi"/>
              </w:rPr>
              <w:t>1.64</w:t>
            </w:r>
            <w:r w:rsidRPr="00937532">
              <w:rPr>
                <w:rFonts w:ascii="Garamond" w:hAnsi="Garamond" w:cstheme="minorHAnsi"/>
              </w:rPr>
              <w:t xml:space="preserve"> (</w:t>
            </w:r>
            <w:r w:rsidR="003154CB" w:rsidRPr="00937532">
              <w:rPr>
                <w:rFonts w:ascii="Garamond" w:hAnsi="Garamond" w:cstheme="minorHAnsi"/>
              </w:rPr>
              <w:t xml:space="preserve">for the period ended June </w:t>
            </w:r>
            <w:r w:rsidRPr="00937532">
              <w:rPr>
                <w:rFonts w:ascii="Garamond" w:hAnsi="Garamond" w:cstheme="minorHAnsi"/>
              </w:rPr>
              <w:t>30, 201</w:t>
            </w:r>
            <w:r w:rsidR="00937532" w:rsidRPr="00937532">
              <w:rPr>
                <w:rFonts w:ascii="Garamond" w:hAnsi="Garamond" w:cstheme="minorHAnsi"/>
              </w:rPr>
              <w:t>8</w:t>
            </w:r>
            <w:r w:rsidRPr="00937532">
              <w:rPr>
                <w:rFonts w:ascii="Garamond" w:hAnsi="Garamond" w:cstheme="minorHAnsi"/>
              </w:rPr>
              <w:t>)</w:t>
            </w:r>
            <w:r w:rsidR="001F3B78" w:rsidRPr="00937532">
              <w:rPr>
                <w:rFonts w:ascii="Garamond" w:hAnsi="Garamond" w:cstheme="minorHAnsi"/>
              </w:rPr>
              <w:t xml:space="preserve"> </w:t>
            </w:r>
          </w:p>
        </w:tc>
      </w:tr>
      <w:tr w:rsidR="00937532" w:rsidRPr="00937532" w14:paraId="4DCC5642" w14:textId="77777777" w:rsidTr="001F3B78">
        <w:trPr>
          <w:trHeight w:val="313"/>
        </w:trPr>
        <w:tc>
          <w:tcPr>
            <w:tcW w:w="3775" w:type="dxa"/>
          </w:tcPr>
          <w:p w14:paraId="7071E642" w14:textId="77777777" w:rsidR="00666F6C" w:rsidRPr="00937532" w:rsidRDefault="00666F6C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Dividend History</w:t>
            </w:r>
          </w:p>
        </w:tc>
        <w:tc>
          <w:tcPr>
            <w:tcW w:w="6017" w:type="dxa"/>
          </w:tcPr>
          <w:p w14:paraId="5C9B5302" w14:textId="75EF6DC1" w:rsidR="00666F6C" w:rsidRPr="00937532" w:rsidRDefault="00937532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NIL in the last five years</w:t>
            </w:r>
          </w:p>
        </w:tc>
      </w:tr>
      <w:tr w:rsidR="00937532" w:rsidRPr="00937532" w14:paraId="30DB5EF4" w14:textId="77777777" w:rsidTr="001F3B78">
        <w:trPr>
          <w:trHeight w:val="350"/>
        </w:trPr>
        <w:tc>
          <w:tcPr>
            <w:tcW w:w="3775" w:type="dxa"/>
          </w:tcPr>
          <w:p w14:paraId="3315F659" w14:textId="77777777" w:rsidR="00F80785" w:rsidRPr="00937532" w:rsidRDefault="00F80785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Issue Manager</w:t>
            </w:r>
          </w:p>
        </w:tc>
        <w:tc>
          <w:tcPr>
            <w:tcW w:w="6017" w:type="dxa"/>
          </w:tcPr>
          <w:p w14:paraId="6C987C09" w14:textId="7FA7ED22" w:rsidR="00F80785" w:rsidRPr="00937532" w:rsidRDefault="00937532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EBL Investments, City Bank</w:t>
            </w:r>
            <w:r w:rsidR="001F3B78" w:rsidRPr="00937532">
              <w:rPr>
                <w:rFonts w:ascii="Garamond" w:hAnsi="Garamond" w:cstheme="minorHAnsi"/>
              </w:rPr>
              <w:t xml:space="preserve"> Capital</w:t>
            </w:r>
            <w:r w:rsidR="00070051">
              <w:rPr>
                <w:rFonts w:ascii="Garamond" w:hAnsi="Garamond" w:cstheme="minorHAnsi"/>
              </w:rPr>
              <w:t xml:space="preserve"> and</w:t>
            </w:r>
            <w:r w:rsidRPr="00937532">
              <w:rPr>
                <w:rFonts w:ascii="Garamond" w:hAnsi="Garamond" w:cstheme="minorHAnsi"/>
              </w:rPr>
              <w:t xml:space="preserve"> Citizen Securities &amp; Investment</w:t>
            </w:r>
            <w:r w:rsidR="001F3B78" w:rsidRPr="00937532">
              <w:rPr>
                <w:rFonts w:ascii="Garamond" w:hAnsi="Garamond" w:cstheme="minorHAnsi"/>
              </w:rPr>
              <w:t xml:space="preserve"> </w:t>
            </w:r>
            <w:r w:rsidR="00AA335E" w:rsidRPr="00937532">
              <w:rPr>
                <w:rFonts w:ascii="Garamond" w:hAnsi="Garamond" w:cstheme="minorHAnsi"/>
              </w:rPr>
              <w:t>Limited</w:t>
            </w:r>
          </w:p>
        </w:tc>
      </w:tr>
      <w:tr w:rsidR="00CD2521" w:rsidRPr="00937532" w14:paraId="61887D79" w14:textId="77777777" w:rsidTr="001F3B78">
        <w:trPr>
          <w:trHeight w:val="313"/>
        </w:trPr>
        <w:tc>
          <w:tcPr>
            <w:tcW w:w="3775" w:type="dxa"/>
          </w:tcPr>
          <w:p w14:paraId="6AD68FE1" w14:textId="77777777" w:rsidR="00F80785" w:rsidRPr="00937532" w:rsidRDefault="00F80785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Auditor</w:t>
            </w:r>
          </w:p>
        </w:tc>
        <w:tc>
          <w:tcPr>
            <w:tcW w:w="6017" w:type="dxa"/>
          </w:tcPr>
          <w:p w14:paraId="445A9164" w14:textId="45BF298F" w:rsidR="00F80785" w:rsidRPr="00937532" w:rsidRDefault="00937532" w:rsidP="008578EF">
            <w:pPr>
              <w:rPr>
                <w:rFonts w:ascii="Garamond" w:hAnsi="Garamond" w:cstheme="minorHAnsi"/>
              </w:rPr>
            </w:pPr>
            <w:r w:rsidRPr="00937532">
              <w:rPr>
                <w:rFonts w:ascii="Garamond" w:hAnsi="Garamond" w:cstheme="minorHAnsi"/>
              </w:rPr>
              <w:t>Ahmad &amp; Akhtar</w:t>
            </w:r>
          </w:p>
        </w:tc>
      </w:tr>
    </w:tbl>
    <w:p w14:paraId="38ADC1C3" w14:textId="77777777" w:rsidR="00A872DD" w:rsidRPr="00937532" w:rsidRDefault="008F11C9" w:rsidP="00ED29B7">
      <w:pPr>
        <w:rPr>
          <w:rFonts w:ascii="Garamond" w:hAnsi="Garamond" w:cstheme="minorHAnsi"/>
          <w:sz w:val="24"/>
          <w:szCs w:val="24"/>
        </w:rPr>
      </w:pPr>
    </w:p>
    <w:sectPr w:rsidR="00A872DD" w:rsidRPr="00937532" w:rsidSect="00E66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0F41C" w14:textId="77777777" w:rsidR="008F11C9" w:rsidRDefault="008F11C9" w:rsidP="00D06126">
      <w:pPr>
        <w:spacing w:after="0" w:line="240" w:lineRule="auto"/>
      </w:pPr>
      <w:r>
        <w:separator/>
      </w:r>
    </w:p>
  </w:endnote>
  <w:endnote w:type="continuationSeparator" w:id="0">
    <w:p w14:paraId="10EE53DC" w14:textId="77777777" w:rsidR="008F11C9" w:rsidRDefault="008F11C9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35BE" w14:textId="77777777" w:rsidR="00070051" w:rsidRDefault="00070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A3B0" w14:textId="77777777" w:rsidR="00070051" w:rsidRDefault="00070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15AB" w14:textId="77777777" w:rsidR="00070051" w:rsidRDefault="0007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DEC7" w14:textId="77777777" w:rsidR="008F11C9" w:rsidRDefault="008F11C9" w:rsidP="00D06126">
      <w:pPr>
        <w:spacing w:after="0" w:line="240" w:lineRule="auto"/>
      </w:pPr>
      <w:r>
        <w:separator/>
      </w:r>
    </w:p>
  </w:footnote>
  <w:footnote w:type="continuationSeparator" w:id="0">
    <w:p w14:paraId="6BDBBE50" w14:textId="77777777" w:rsidR="008F11C9" w:rsidRDefault="008F11C9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7556" w14:textId="77777777" w:rsidR="00070051" w:rsidRDefault="00070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018DF735" w:rsidR="00D06126" w:rsidRPr="001F3B78" w:rsidRDefault="00070051" w:rsidP="00D06126">
    <w:pPr>
      <w:pStyle w:val="Header"/>
      <w:jc w:val="center"/>
      <w:rPr>
        <w:rFonts w:ascii="Garamond" w:hAnsi="Garamond"/>
        <w:b/>
        <w:sz w:val="24"/>
        <w:szCs w:val="24"/>
      </w:rPr>
    </w:pPr>
    <w:proofErr w:type="spellStart"/>
    <w:r>
      <w:rPr>
        <w:rFonts w:ascii="Garamond" w:hAnsi="Garamond"/>
        <w:b/>
        <w:sz w:val="24"/>
        <w:szCs w:val="24"/>
      </w:rPr>
      <w:t>Silco</w:t>
    </w:r>
    <w:proofErr w:type="spellEnd"/>
    <w:r>
      <w:rPr>
        <w:rFonts w:ascii="Garamond" w:hAnsi="Garamond"/>
        <w:b/>
        <w:sz w:val="24"/>
        <w:szCs w:val="24"/>
      </w:rPr>
      <w:t xml:space="preserve"> Pharmaceuticals</w:t>
    </w:r>
    <w:bookmarkStart w:id="0" w:name="_GoBack"/>
    <w:bookmarkEnd w:id="0"/>
    <w:r w:rsidR="00976C21" w:rsidRPr="001F3B78">
      <w:rPr>
        <w:rFonts w:ascii="Garamond" w:hAnsi="Garamond"/>
        <w:b/>
        <w:sz w:val="24"/>
        <w:szCs w:val="24"/>
      </w:rPr>
      <w:t xml:space="preserve"> </w:t>
    </w:r>
    <w:r w:rsidR="00F733FD" w:rsidRPr="001F3B78">
      <w:rPr>
        <w:rFonts w:ascii="Garamond" w:hAnsi="Garamond"/>
        <w:b/>
        <w:sz w:val="24"/>
        <w:szCs w:val="24"/>
      </w:rPr>
      <w:t>Limited</w:t>
    </w:r>
  </w:p>
  <w:p w14:paraId="3984F9E6" w14:textId="77777777" w:rsidR="00D06126" w:rsidRPr="001F3B78" w:rsidRDefault="00D06126" w:rsidP="00D06126">
    <w:pPr>
      <w:pStyle w:val="Header"/>
      <w:jc w:val="center"/>
      <w:rPr>
        <w:rFonts w:ascii="Garamond" w:hAnsi="Garamond"/>
        <w:sz w:val="24"/>
        <w:szCs w:val="24"/>
      </w:rPr>
    </w:pPr>
    <w:r w:rsidRPr="001F3B78">
      <w:rPr>
        <w:rFonts w:ascii="Garamond" w:hAnsi="Garamond"/>
        <w:b/>
        <w:sz w:val="24"/>
        <w:szCs w:val="24"/>
      </w:rPr>
      <w:t>(As per prospectus</w:t>
    </w:r>
    <w:r w:rsidRPr="001F3B78">
      <w:rPr>
        <w:rFonts w:ascii="Garamond" w:hAnsi="Garamond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7522" w14:textId="77777777" w:rsidR="00070051" w:rsidRDefault="00070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42ACF"/>
    <w:rsid w:val="00056E57"/>
    <w:rsid w:val="00066477"/>
    <w:rsid w:val="00070051"/>
    <w:rsid w:val="00086961"/>
    <w:rsid w:val="0009144A"/>
    <w:rsid w:val="0019000D"/>
    <w:rsid w:val="00192E28"/>
    <w:rsid w:val="0019701D"/>
    <w:rsid w:val="001F3B78"/>
    <w:rsid w:val="0023480B"/>
    <w:rsid w:val="00246398"/>
    <w:rsid w:val="002676E8"/>
    <w:rsid w:val="00284F4D"/>
    <w:rsid w:val="0028673A"/>
    <w:rsid w:val="00295F0A"/>
    <w:rsid w:val="002A6471"/>
    <w:rsid w:val="002B28F4"/>
    <w:rsid w:val="002B722E"/>
    <w:rsid w:val="002D4E47"/>
    <w:rsid w:val="002F1672"/>
    <w:rsid w:val="003047BC"/>
    <w:rsid w:val="003154CB"/>
    <w:rsid w:val="00360AB0"/>
    <w:rsid w:val="00385BAF"/>
    <w:rsid w:val="003906B8"/>
    <w:rsid w:val="003C1173"/>
    <w:rsid w:val="003F3C8E"/>
    <w:rsid w:val="003F4CCD"/>
    <w:rsid w:val="00405BDB"/>
    <w:rsid w:val="004372F7"/>
    <w:rsid w:val="00453EEC"/>
    <w:rsid w:val="004F7E23"/>
    <w:rsid w:val="00540989"/>
    <w:rsid w:val="00565B10"/>
    <w:rsid w:val="005B0C6C"/>
    <w:rsid w:val="005B5622"/>
    <w:rsid w:val="00612B4B"/>
    <w:rsid w:val="006249A8"/>
    <w:rsid w:val="0066004E"/>
    <w:rsid w:val="00666F6C"/>
    <w:rsid w:val="00684CA5"/>
    <w:rsid w:val="006B59B1"/>
    <w:rsid w:val="006C07B8"/>
    <w:rsid w:val="006C51EB"/>
    <w:rsid w:val="006D406A"/>
    <w:rsid w:val="0070252C"/>
    <w:rsid w:val="00702B73"/>
    <w:rsid w:val="00741B7F"/>
    <w:rsid w:val="0079008F"/>
    <w:rsid w:val="007F6E17"/>
    <w:rsid w:val="00825E80"/>
    <w:rsid w:val="008578EF"/>
    <w:rsid w:val="0086141D"/>
    <w:rsid w:val="008672B2"/>
    <w:rsid w:val="0089321A"/>
    <w:rsid w:val="008F11C9"/>
    <w:rsid w:val="00926C71"/>
    <w:rsid w:val="00937532"/>
    <w:rsid w:val="00946113"/>
    <w:rsid w:val="00951997"/>
    <w:rsid w:val="00976C21"/>
    <w:rsid w:val="009A70BA"/>
    <w:rsid w:val="00A30B9E"/>
    <w:rsid w:val="00A639D1"/>
    <w:rsid w:val="00A944F0"/>
    <w:rsid w:val="00AA335E"/>
    <w:rsid w:val="00AB6BFE"/>
    <w:rsid w:val="00AE5C36"/>
    <w:rsid w:val="00AF027B"/>
    <w:rsid w:val="00B16AA4"/>
    <w:rsid w:val="00B3411C"/>
    <w:rsid w:val="00B36797"/>
    <w:rsid w:val="00BD6E6C"/>
    <w:rsid w:val="00C00A11"/>
    <w:rsid w:val="00C0350C"/>
    <w:rsid w:val="00C06DA2"/>
    <w:rsid w:val="00C542EA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D87BFB"/>
    <w:rsid w:val="00E04BB4"/>
    <w:rsid w:val="00E66973"/>
    <w:rsid w:val="00E72115"/>
    <w:rsid w:val="00E853E7"/>
    <w:rsid w:val="00E9761E"/>
    <w:rsid w:val="00EB379E"/>
    <w:rsid w:val="00EC77BE"/>
    <w:rsid w:val="00ED29B7"/>
    <w:rsid w:val="00EE5BDC"/>
    <w:rsid w:val="00F733FD"/>
    <w:rsid w:val="00F80785"/>
    <w:rsid w:val="00FA7D32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el:+88-082-722241,0821-72851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5</cp:revision>
  <cp:lastPrinted>2019-03-19T09:59:00Z</cp:lastPrinted>
  <dcterms:created xsi:type="dcterms:W3CDTF">2019-03-19T07:37:00Z</dcterms:created>
  <dcterms:modified xsi:type="dcterms:W3CDTF">2019-03-19T10:02:00Z</dcterms:modified>
</cp:coreProperties>
</file>