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3595"/>
        <w:gridCol w:w="6197"/>
      </w:tblGrid>
      <w:tr w:rsidR="000C6008" w:rsidRPr="0099755A" w14:paraId="5927FEC1" w14:textId="77777777" w:rsidTr="00B33EE5">
        <w:trPr>
          <w:trHeight w:val="639"/>
        </w:trPr>
        <w:tc>
          <w:tcPr>
            <w:tcW w:w="3595" w:type="dxa"/>
          </w:tcPr>
          <w:p w14:paraId="1D1B1BC9" w14:textId="77777777" w:rsidR="006C07B8" w:rsidRPr="0099755A" w:rsidRDefault="006C07B8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Address</w:t>
            </w:r>
          </w:p>
        </w:tc>
        <w:tc>
          <w:tcPr>
            <w:tcW w:w="6197" w:type="dxa"/>
          </w:tcPr>
          <w:p w14:paraId="0229C7DD" w14:textId="77777777" w:rsidR="00C908A1" w:rsidRPr="0099755A" w:rsidRDefault="00C908A1" w:rsidP="00C45C25">
            <w:pPr>
              <w:rPr>
                <w:rFonts w:ascii="Garamond" w:hAnsi="Garamond"/>
              </w:rPr>
            </w:pPr>
            <w:r w:rsidRPr="0099755A">
              <w:rPr>
                <w:rFonts w:ascii="Garamond" w:hAnsi="Garamond"/>
              </w:rPr>
              <w:t xml:space="preserve">Jiban </w:t>
            </w:r>
            <w:proofErr w:type="spellStart"/>
            <w:r w:rsidRPr="0099755A">
              <w:rPr>
                <w:rFonts w:ascii="Garamond" w:hAnsi="Garamond"/>
              </w:rPr>
              <w:t>Bima</w:t>
            </w:r>
            <w:proofErr w:type="spellEnd"/>
            <w:r w:rsidRPr="0099755A">
              <w:rPr>
                <w:rFonts w:ascii="Garamond" w:hAnsi="Garamond"/>
              </w:rPr>
              <w:t xml:space="preserve"> Bhaban, Level#5, Front Block, 10 </w:t>
            </w:r>
            <w:proofErr w:type="spellStart"/>
            <w:r w:rsidRPr="0099755A">
              <w:rPr>
                <w:rFonts w:ascii="Garamond" w:hAnsi="Garamond"/>
              </w:rPr>
              <w:t>Dilkusha</w:t>
            </w:r>
            <w:proofErr w:type="spellEnd"/>
            <w:r w:rsidRPr="0099755A">
              <w:rPr>
                <w:rFonts w:ascii="Garamond" w:hAnsi="Garamond"/>
              </w:rPr>
              <w:t xml:space="preserve"> C/A, Dhaka – 1000</w:t>
            </w:r>
            <w:r w:rsidRPr="0099755A">
              <w:rPr>
                <w:rFonts w:ascii="Garamond" w:hAnsi="Garamond"/>
              </w:rPr>
              <w:t xml:space="preserve">, </w:t>
            </w:r>
            <w:r w:rsidRPr="0099755A">
              <w:rPr>
                <w:rFonts w:ascii="Garamond" w:hAnsi="Garamond"/>
              </w:rPr>
              <w:t>Tel: +88-02-9571642-5 Fax: +88-02-9561920</w:t>
            </w:r>
          </w:p>
          <w:p w14:paraId="3405AF6F" w14:textId="7D716482" w:rsidR="006C07B8" w:rsidRPr="0099755A" w:rsidRDefault="00C908A1" w:rsidP="00C45C25">
            <w:pPr>
              <w:rPr>
                <w:rFonts w:ascii="Garamond" w:hAnsi="Garamond" w:cs="Times New Roman"/>
              </w:rPr>
            </w:pPr>
            <w:proofErr w:type="gramStart"/>
            <w:r w:rsidRPr="0099755A">
              <w:rPr>
                <w:rFonts w:ascii="Garamond" w:hAnsi="Garamond"/>
              </w:rPr>
              <w:t>E-mail:info@deshinsurancebd.com</w:t>
            </w:r>
            <w:proofErr w:type="gramEnd"/>
            <w:r w:rsidRPr="0099755A">
              <w:rPr>
                <w:rFonts w:ascii="Garamond" w:hAnsi="Garamond"/>
              </w:rPr>
              <w:t xml:space="preserve"> Web: www.deshinsurancebd.com</w:t>
            </w:r>
          </w:p>
        </w:tc>
      </w:tr>
      <w:tr w:rsidR="00A56A7D" w:rsidRPr="0099755A" w14:paraId="6C9BA4A4" w14:textId="77777777" w:rsidTr="00B33EE5">
        <w:trPr>
          <w:trHeight w:val="368"/>
        </w:trPr>
        <w:tc>
          <w:tcPr>
            <w:tcW w:w="3595" w:type="dxa"/>
          </w:tcPr>
          <w:p w14:paraId="3B3F385E" w14:textId="70BB804B" w:rsidR="00A56A7D" w:rsidRPr="0099755A" w:rsidRDefault="00C908A1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Chief Executive Officer (CC)</w:t>
            </w:r>
          </w:p>
        </w:tc>
        <w:tc>
          <w:tcPr>
            <w:tcW w:w="6197" w:type="dxa"/>
          </w:tcPr>
          <w:p w14:paraId="0362491E" w14:textId="4CB3F525" w:rsidR="00A56A7D" w:rsidRPr="0099755A" w:rsidRDefault="003E617C" w:rsidP="00C45C25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 xml:space="preserve">Mr. </w:t>
            </w:r>
            <w:proofErr w:type="spellStart"/>
            <w:r w:rsidR="00C908A1" w:rsidRPr="0099755A">
              <w:rPr>
                <w:rFonts w:ascii="Garamond" w:hAnsi="Garamond"/>
              </w:rPr>
              <w:t>Mohd</w:t>
            </w:r>
            <w:proofErr w:type="spellEnd"/>
            <w:r w:rsidR="00C908A1" w:rsidRPr="0099755A">
              <w:rPr>
                <w:rFonts w:ascii="Garamond" w:hAnsi="Garamond"/>
              </w:rPr>
              <w:t xml:space="preserve">. Abul </w:t>
            </w:r>
            <w:proofErr w:type="spellStart"/>
            <w:r w:rsidR="00C908A1" w:rsidRPr="0099755A">
              <w:rPr>
                <w:rFonts w:ascii="Garamond" w:hAnsi="Garamond"/>
              </w:rPr>
              <w:t>Kashem</w:t>
            </w:r>
            <w:proofErr w:type="spellEnd"/>
          </w:p>
        </w:tc>
      </w:tr>
      <w:tr w:rsidR="000C6008" w:rsidRPr="0099755A" w14:paraId="0523BB2B" w14:textId="77777777" w:rsidTr="00B33EE5">
        <w:trPr>
          <w:trHeight w:val="639"/>
        </w:trPr>
        <w:tc>
          <w:tcPr>
            <w:tcW w:w="3595" w:type="dxa"/>
          </w:tcPr>
          <w:p w14:paraId="6E650C40" w14:textId="77777777" w:rsidR="00D06126" w:rsidRPr="0099755A" w:rsidRDefault="00D06126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Nature of Business</w:t>
            </w:r>
          </w:p>
        </w:tc>
        <w:tc>
          <w:tcPr>
            <w:tcW w:w="6197" w:type="dxa"/>
          </w:tcPr>
          <w:p w14:paraId="3593E0CC" w14:textId="62096AD5" w:rsidR="00D06126" w:rsidRPr="0099755A" w:rsidRDefault="00F94A9E" w:rsidP="00C45C25">
            <w:pPr>
              <w:jc w:val="both"/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/>
              </w:rPr>
              <w:t xml:space="preserve">The primary objectives of the Company are to carry on all kind of insurance </w:t>
            </w:r>
            <w:proofErr w:type="spellStart"/>
            <w:r w:rsidRPr="0099755A">
              <w:rPr>
                <w:rFonts w:ascii="Garamond" w:hAnsi="Garamond"/>
              </w:rPr>
              <w:t>i</w:t>
            </w:r>
            <w:proofErr w:type="spellEnd"/>
            <w:r w:rsidRPr="0099755A">
              <w:rPr>
                <w:rFonts w:ascii="Garamond" w:hAnsi="Garamond"/>
              </w:rPr>
              <w:t>. e. fire, marine, marine hull, and motor, miscellaneous other than life insurance business. In addition to issuance of bank guarantee for valuable clients.</w:t>
            </w:r>
          </w:p>
        </w:tc>
      </w:tr>
      <w:tr w:rsidR="00461DB0" w:rsidRPr="0099755A" w14:paraId="0F77DBB3" w14:textId="77777777" w:rsidTr="0081334F">
        <w:trPr>
          <w:trHeight w:val="422"/>
        </w:trPr>
        <w:tc>
          <w:tcPr>
            <w:tcW w:w="3595" w:type="dxa"/>
          </w:tcPr>
          <w:p w14:paraId="60749B37" w14:textId="501BE72B" w:rsidR="00461DB0" w:rsidRPr="0099755A" w:rsidRDefault="00461DB0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Product/Service</w:t>
            </w:r>
          </w:p>
        </w:tc>
        <w:tc>
          <w:tcPr>
            <w:tcW w:w="6197" w:type="dxa"/>
          </w:tcPr>
          <w:p w14:paraId="747389BC" w14:textId="03F9BEF7" w:rsidR="00461DB0" w:rsidRPr="0099755A" w:rsidRDefault="00F94A9E" w:rsidP="00C45C25">
            <w:pPr>
              <w:jc w:val="both"/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 xml:space="preserve">All services relating to </w:t>
            </w:r>
            <w:r w:rsidRPr="0099755A">
              <w:rPr>
                <w:rFonts w:ascii="Garamond" w:hAnsi="Garamond"/>
              </w:rPr>
              <w:t>fire, marine, marine hull, and motor, miscellaneous other than life insurance business</w:t>
            </w:r>
          </w:p>
        </w:tc>
      </w:tr>
      <w:tr w:rsidR="000C6008" w:rsidRPr="0099755A" w14:paraId="291E5762" w14:textId="77777777" w:rsidTr="00B33EE5">
        <w:trPr>
          <w:trHeight w:val="326"/>
        </w:trPr>
        <w:tc>
          <w:tcPr>
            <w:tcW w:w="3595" w:type="dxa"/>
          </w:tcPr>
          <w:p w14:paraId="2CC0226E" w14:textId="77777777" w:rsidR="00D06126" w:rsidRPr="0099755A" w:rsidRDefault="00612B4B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Market for the products</w:t>
            </w:r>
          </w:p>
        </w:tc>
        <w:tc>
          <w:tcPr>
            <w:tcW w:w="6197" w:type="dxa"/>
          </w:tcPr>
          <w:p w14:paraId="61F5ADED" w14:textId="1ECF5060" w:rsidR="00D06126" w:rsidRPr="0099755A" w:rsidRDefault="00F158F3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 xml:space="preserve">Domestic </w:t>
            </w:r>
          </w:p>
        </w:tc>
      </w:tr>
      <w:tr w:rsidR="000C6008" w:rsidRPr="0099755A" w14:paraId="35326890" w14:textId="77777777" w:rsidTr="00B33EE5">
        <w:trPr>
          <w:trHeight w:val="326"/>
        </w:trPr>
        <w:tc>
          <w:tcPr>
            <w:tcW w:w="3595" w:type="dxa"/>
          </w:tcPr>
          <w:p w14:paraId="6625FF69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BSEC’s Consent for IPO</w:t>
            </w:r>
          </w:p>
        </w:tc>
        <w:tc>
          <w:tcPr>
            <w:tcW w:w="6197" w:type="dxa"/>
          </w:tcPr>
          <w:p w14:paraId="5AC43BAE" w14:textId="2C63AB4B" w:rsidR="00112509" w:rsidRPr="0099755A" w:rsidRDefault="00F94A9E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/>
              </w:rPr>
              <w:t>January 13, 2021</w:t>
            </w:r>
          </w:p>
        </w:tc>
      </w:tr>
      <w:tr w:rsidR="000C6008" w:rsidRPr="0099755A" w14:paraId="599281B7" w14:textId="77777777" w:rsidTr="00B33EE5">
        <w:trPr>
          <w:trHeight w:val="326"/>
        </w:trPr>
        <w:tc>
          <w:tcPr>
            <w:tcW w:w="3595" w:type="dxa"/>
          </w:tcPr>
          <w:p w14:paraId="69E23ACB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Issue Date of Prospectus</w:t>
            </w:r>
          </w:p>
        </w:tc>
        <w:tc>
          <w:tcPr>
            <w:tcW w:w="6197" w:type="dxa"/>
          </w:tcPr>
          <w:p w14:paraId="26F67FD3" w14:textId="669FA215" w:rsidR="00112509" w:rsidRPr="0099755A" w:rsidRDefault="00F94A9E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/>
              </w:rPr>
              <w:t>January 13, 2021</w:t>
            </w:r>
          </w:p>
        </w:tc>
      </w:tr>
      <w:tr w:rsidR="000C6008" w:rsidRPr="0099755A" w14:paraId="41D2EF4F" w14:textId="77777777" w:rsidTr="00B33EE5">
        <w:trPr>
          <w:trHeight w:val="326"/>
        </w:trPr>
        <w:tc>
          <w:tcPr>
            <w:tcW w:w="3595" w:type="dxa"/>
          </w:tcPr>
          <w:p w14:paraId="64872EEE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Subscription Open</w:t>
            </w:r>
          </w:p>
        </w:tc>
        <w:tc>
          <w:tcPr>
            <w:tcW w:w="6197" w:type="dxa"/>
          </w:tcPr>
          <w:p w14:paraId="31205E6B" w14:textId="67ED9873" w:rsidR="00112509" w:rsidRPr="0099755A" w:rsidRDefault="00F94A9E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/>
              </w:rPr>
              <w:t>February 14, 2021</w:t>
            </w:r>
          </w:p>
        </w:tc>
      </w:tr>
      <w:tr w:rsidR="000C6008" w:rsidRPr="0099755A" w14:paraId="560E626A" w14:textId="77777777" w:rsidTr="00B33EE5">
        <w:trPr>
          <w:trHeight w:val="326"/>
        </w:trPr>
        <w:tc>
          <w:tcPr>
            <w:tcW w:w="3595" w:type="dxa"/>
          </w:tcPr>
          <w:p w14:paraId="54338BA1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Subscription Close</w:t>
            </w:r>
          </w:p>
        </w:tc>
        <w:tc>
          <w:tcPr>
            <w:tcW w:w="6197" w:type="dxa"/>
          </w:tcPr>
          <w:p w14:paraId="588088D6" w14:textId="3CCE516A" w:rsidR="00112509" w:rsidRPr="0099755A" w:rsidRDefault="00F94A9E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/>
              </w:rPr>
              <w:t>February 18, 2021</w:t>
            </w:r>
          </w:p>
        </w:tc>
      </w:tr>
      <w:tr w:rsidR="00FC769B" w:rsidRPr="0099755A" w14:paraId="446120DF" w14:textId="77777777" w:rsidTr="00B33EE5">
        <w:trPr>
          <w:trHeight w:val="326"/>
        </w:trPr>
        <w:tc>
          <w:tcPr>
            <w:tcW w:w="3595" w:type="dxa"/>
          </w:tcPr>
          <w:p w14:paraId="2762F134" w14:textId="5ED0C91D" w:rsidR="00FC769B" w:rsidRPr="0099755A" w:rsidRDefault="00FC769B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Minimum Investment for EIS</w:t>
            </w:r>
          </w:p>
        </w:tc>
        <w:tc>
          <w:tcPr>
            <w:tcW w:w="6197" w:type="dxa"/>
          </w:tcPr>
          <w:p w14:paraId="19CC0ED1" w14:textId="4EB5E5DB" w:rsidR="00FC769B" w:rsidRPr="0099755A" w:rsidRDefault="00F94A9E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/>
              </w:rPr>
              <w:t>For approved pension funds, recognized provident funds and approved gratuity funds BDT 50,00,000 (Market Price). For other EIs BDT 1,00,00,000 (Market Price).</w:t>
            </w:r>
          </w:p>
        </w:tc>
      </w:tr>
      <w:tr w:rsidR="000C6008" w:rsidRPr="0099755A" w14:paraId="450DAF4B" w14:textId="77777777" w:rsidTr="00B33EE5">
        <w:trPr>
          <w:trHeight w:val="326"/>
        </w:trPr>
        <w:tc>
          <w:tcPr>
            <w:tcW w:w="3595" w:type="dxa"/>
          </w:tcPr>
          <w:p w14:paraId="2652E22E" w14:textId="63592C6C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Security Trading Code</w:t>
            </w:r>
          </w:p>
        </w:tc>
        <w:tc>
          <w:tcPr>
            <w:tcW w:w="6197" w:type="dxa"/>
          </w:tcPr>
          <w:p w14:paraId="54BBD600" w14:textId="6185F6B6" w:rsidR="00112509" w:rsidRPr="0099755A" w:rsidRDefault="00F94A9E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/>
              </w:rPr>
              <w:t>DGIC</w:t>
            </w:r>
          </w:p>
        </w:tc>
      </w:tr>
      <w:tr w:rsidR="000C6008" w:rsidRPr="0099755A" w14:paraId="22964DA9" w14:textId="77777777" w:rsidTr="00B33EE5">
        <w:trPr>
          <w:trHeight w:val="326"/>
        </w:trPr>
        <w:tc>
          <w:tcPr>
            <w:tcW w:w="3595" w:type="dxa"/>
          </w:tcPr>
          <w:p w14:paraId="00E27333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Public Offer of Ordinary Shares</w:t>
            </w:r>
          </w:p>
        </w:tc>
        <w:tc>
          <w:tcPr>
            <w:tcW w:w="6197" w:type="dxa"/>
          </w:tcPr>
          <w:p w14:paraId="0A6A1438" w14:textId="4A74B32E" w:rsidR="00112509" w:rsidRPr="0099755A" w:rsidRDefault="002B0AD4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1</w:t>
            </w:r>
            <w:r w:rsidR="00F94A9E" w:rsidRPr="0099755A">
              <w:rPr>
                <w:rFonts w:ascii="Garamond" w:hAnsi="Garamond" w:cs="Times New Roman"/>
              </w:rPr>
              <w:t>6</w:t>
            </w:r>
            <w:r w:rsidR="00FC769B" w:rsidRPr="0099755A">
              <w:rPr>
                <w:rFonts w:ascii="Garamond" w:hAnsi="Garamond" w:cs="Times New Roman"/>
              </w:rPr>
              <w:t>million</w:t>
            </w:r>
            <w:r w:rsidR="00C94110" w:rsidRPr="0099755A">
              <w:rPr>
                <w:rFonts w:ascii="Garamond" w:hAnsi="Garamond" w:cs="Times New Roman"/>
              </w:rPr>
              <w:t xml:space="preserve"> shares</w:t>
            </w:r>
          </w:p>
        </w:tc>
      </w:tr>
      <w:tr w:rsidR="000C6008" w:rsidRPr="0099755A" w14:paraId="30D05EA2" w14:textId="77777777" w:rsidTr="00B33EE5">
        <w:trPr>
          <w:trHeight w:val="326"/>
        </w:trPr>
        <w:tc>
          <w:tcPr>
            <w:tcW w:w="3595" w:type="dxa"/>
          </w:tcPr>
          <w:p w14:paraId="7B2E1CE7" w14:textId="130CB123" w:rsidR="00112509" w:rsidRPr="0099755A" w:rsidRDefault="00FC769B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 xml:space="preserve">Issue </w:t>
            </w:r>
            <w:proofErr w:type="gramStart"/>
            <w:r w:rsidRPr="0099755A">
              <w:rPr>
                <w:rFonts w:ascii="Garamond" w:hAnsi="Garamond" w:cs="Times New Roman"/>
              </w:rPr>
              <w:t xml:space="preserve">Price </w:t>
            </w:r>
            <w:r w:rsidR="00112509" w:rsidRPr="0099755A">
              <w:rPr>
                <w:rFonts w:ascii="Garamond" w:hAnsi="Garamond" w:cs="Times New Roman"/>
              </w:rPr>
              <w:t xml:space="preserve"> </w:t>
            </w:r>
            <w:r w:rsidR="00C5364E" w:rsidRPr="0099755A">
              <w:rPr>
                <w:rFonts w:ascii="Garamond" w:hAnsi="Garamond" w:cs="Times New Roman"/>
              </w:rPr>
              <w:t>per</w:t>
            </w:r>
            <w:proofErr w:type="gramEnd"/>
            <w:r w:rsidR="00C5364E" w:rsidRPr="0099755A">
              <w:rPr>
                <w:rFonts w:ascii="Garamond" w:hAnsi="Garamond" w:cs="Times New Roman"/>
              </w:rPr>
              <w:t xml:space="preserve"> share</w:t>
            </w:r>
          </w:p>
        </w:tc>
        <w:tc>
          <w:tcPr>
            <w:tcW w:w="6197" w:type="dxa"/>
          </w:tcPr>
          <w:p w14:paraId="3317BD92" w14:textId="64D94074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 xml:space="preserve">Tk. </w:t>
            </w:r>
            <w:r w:rsidR="00FC769B" w:rsidRPr="0099755A">
              <w:rPr>
                <w:rFonts w:ascii="Garamond" w:hAnsi="Garamond" w:cs="Times New Roman"/>
              </w:rPr>
              <w:t>10</w:t>
            </w:r>
            <w:r w:rsidRPr="0099755A">
              <w:rPr>
                <w:rFonts w:ascii="Garamond" w:hAnsi="Garamond" w:cs="Times New Roman"/>
              </w:rPr>
              <w:t xml:space="preserve"> each</w:t>
            </w:r>
            <w:r w:rsidR="00461DB0" w:rsidRPr="0099755A">
              <w:rPr>
                <w:rFonts w:ascii="Garamond" w:hAnsi="Garamond" w:cs="Times New Roman"/>
              </w:rPr>
              <w:t xml:space="preserve"> </w:t>
            </w:r>
            <w:r w:rsidR="00FC769B" w:rsidRPr="0099755A">
              <w:rPr>
                <w:rFonts w:ascii="Garamond" w:hAnsi="Garamond" w:cs="Times New Roman"/>
              </w:rPr>
              <w:t>at par</w:t>
            </w:r>
          </w:p>
        </w:tc>
      </w:tr>
      <w:tr w:rsidR="000C6008" w:rsidRPr="0099755A" w14:paraId="0FDC08CE" w14:textId="77777777" w:rsidTr="00B33EE5">
        <w:trPr>
          <w:trHeight w:val="326"/>
        </w:trPr>
        <w:tc>
          <w:tcPr>
            <w:tcW w:w="3595" w:type="dxa"/>
          </w:tcPr>
          <w:p w14:paraId="44CB4977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Authorized Capital</w:t>
            </w:r>
          </w:p>
        </w:tc>
        <w:tc>
          <w:tcPr>
            <w:tcW w:w="6197" w:type="dxa"/>
          </w:tcPr>
          <w:p w14:paraId="45CE2130" w14:textId="77B0DBB4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 xml:space="preserve">Tk. </w:t>
            </w:r>
            <w:r w:rsidR="00FC769B" w:rsidRPr="0099755A">
              <w:rPr>
                <w:rFonts w:ascii="Garamond" w:hAnsi="Garamond" w:cs="Times New Roman"/>
              </w:rPr>
              <w:t xml:space="preserve">1,000.00 </w:t>
            </w:r>
            <w:proofErr w:type="spellStart"/>
            <w:r w:rsidR="00FC769B" w:rsidRPr="0099755A">
              <w:rPr>
                <w:rFonts w:ascii="Garamond" w:hAnsi="Garamond" w:cs="Times New Roman"/>
              </w:rPr>
              <w:t>mn</w:t>
            </w:r>
            <w:proofErr w:type="spellEnd"/>
          </w:p>
        </w:tc>
      </w:tr>
      <w:tr w:rsidR="000C6008" w:rsidRPr="0099755A" w14:paraId="498C0E68" w14:textId="77777777" w:rsidTr="00B33EE5">
        <w:trPr>
          <w:trHeight w:val="326"/>
        </w:trPr>
        <w:tc>
          <w:tcPr>
            <w:tcW w:w="3595" w:type="dxa"/>
          </w:tcPr>
          <w:p w14:paraId="074A7C90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Pre-IPO Paid-up Capital</w:t>
            </w:r>
          </w:p>
        </w:tc>
        <w:tc>
          <w:tcPr>
            <w:tcW w:w="6197" w:type="dxa"/>
          </w:tcPr>
          <w:p w14:paraId="4F995CDB" w14:textId="10E0546D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 xml:space="preserve">Tk. </w:t>
            </w:r>
            <w:r w:rsidR="00F94A9E" w:rsidRPr="0099755A">
              <w:rPr>
                <w:rFonts w:ascii="Garamond" w:hAnsi="Garamond" w:cs="Times New Roman"/>
              </w:rPr>
              <w:t>24</w:t>
            </w:r>
            <w:r w:rsidR="00FC769B" w:rsidRPr="0099755A">
              <w:rPr>
                <w:rFonts w:ascii="Garamond" w:hAnsi="Garamond" w:cs="Times New Roman"/>
              </w:rPr>
              <w:t>0.00</w:t>
            </w:r>
            <w:r w:rsidR="002B0AD4" w:rsidRPr="0099755A">
              <w:rPr>
                <w:rFonts w:ascii="Garamond" w:hAnsi="Garamond" w:cs="Times New Roman"/>
              </w:rPr>
              <w:t xml:space="preserve"> </w:t>
            </w:r>
            <w:proofErr w:type="spellStart"/>
            <w:r w:rsidR="002B0AD4" w:rsidRPr="0099755A">
              <w:rPr>
                <w:rFonts w:ascii="Garamond" w:hAnsi="Garamond" w:cs="Times New Roman"/>
              </w:rPr>
              <w:t>m</w:t>
            </w:r>
            <w:r w:rsidRPr="0099755A">
              <w:rPr>
                <w:rFonts w:ascii="Garamond" w:hAnsi="Garamond" w:cs="Times New Roman"/>
              </w:rPr>
              <w:t>n</w:t>
            </w:r>
            <w:proofErr w:type="spellEnd"/>
          </w:p>
        </w:tc>
      </w:tr>
      <w:tr w:rsidR="000C6008" w:rsidRPr="0099755A" w14:paraId="3D7DC843" w14:textId="77777777" w:rsidTr="00B33EE5">
        <w:trPr>
          <w:trHeight w:val="326"/>
        </w:trPr>
        <w:tc>
          <w:tcPr>
            <w:tcW w:w="3595" w:type="dxa"/>
          </w:tcPr>
          <w:p w14:paraId="1D118540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 xml:space="preserve">IPO Size </w:t>
            </w:r>
          </w:p>
        </w:tc>
        <w:tc>
          <w:tcPr>
            <w:tcW w:w="6197" w:type="dxa"/>
          </w:tcPr>
          <w:p w14:paraId="44319715" w14:textId="0BA55440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 xml:space="preserve">Tk. </w:t>
            </w:r>
            <w:r w:rsidR="00FC769B" w:rsidRPr="0099755A">
              <w:rPr>
                <w:rFonts w:ascii="Garamond" w:hAnsi="Garamond" w:cs="Times New Roman"/>
              </w:rPr>
              <w:t>1</w:t>
            </w:r>
            <w:r w:rsidR="00F94A9E" w:rsidRPr="0099755A">
              <w:rPr>
                <w:rFonts w:ascii="Garamond" w:hAnsi="Garamond" w:cs="Times New Roman"/>
              </w:rPr>
              <w:t>6</w:t>
            </w:r>
            <w:r w:rsidR="002B0AD4" w:rsidRPr="0099755A">
              <w:rPr>
                <w:rFonts w:ascii="Garamond" w:hAnsi="Garamond" w:cs="Times New Roman"/>
              </w:rPr>
              <w:t>0</w:t>
            </w:r>
            <w:r w:rsidR="00733C6A" w:rsidRPr="0099755A">
              <w:rPr>
                <w:rFonts w:ascii="Garamond" w:hAnsi="Garamond" w:cs="Times New Roman"/>
              </w:rPr>
              <w:t xml:space="preserve">.00 </w:t>
            </w:r>
            <w:proofErr w:type="spellStart"/>
            <w:r w:rsidR="002B0AD4" w:rsidRPr="0099755A">
              <w:rPr>
                <w:rFonts w:ascii="Garamond" w:hAnsi="Garamond" w:cs="Times New Roman"/>
              </w:rPr>
              <w:t>mn</w:t>
            </w:r>
            <w:proofErr w:type="spellEnd"/>
          </w:p>
        </w:tc>
      </w:tr>
      <w:tr w:rsidR="000C6008" w:rsidRPr="0099755A" w14:paraId="6BC81EAB" w14:textId="77777777" w:rsidTr="00B33EE5">
        <w:trPr>
          <w:trHeight w:val="326"/>
        </w:trPr>
        <w:tc>
          <w:tcPr>
            <w:tcW w:w="3595" w:type="dxa"/>
          </w:tcPr>
          <w:p w14:paraId="1D787EB2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Post IPO Paid-up Capital</w:t>
            </w:r>
          </w:p>
        </w:tc>
        <w:tc>
          <w:tcPr>
            <w:tcW w:w="6197" w:type="dxa"/>
          </w:tcPr>
          <w:p w14:paraId="32A129AA" w14:textId="746ED4F8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 xml:space="preserve">Tk. </w:t>
            </w:r>
            <w:r w:rsidR="00F94A9E" w:rsidRPr="0099755A">
              <w:rPr>
                <w:rFonts w:ascii="Garamond" w:hAnsi="Garamond" w:cs="Times New Roman"/>
              </w:rPr>
              <w:t>40</w:t>
            </w:r>
            <w:r w:rsidR="00FC769B" w:rsidRPr="0099755A">
              <w:rPr>
                <w:rFonts w:ascii="Garamond" w:hAnsi="Garamond" w:cs="Times New Roman"/>
              </w:rPr>
              <w:t>0.00</w:t>
            </w:r>
            <w:r w:rsidR="002B0AD4" w:rsidRPr="0099755A">
              <w:rPr>
                <w:rFonts w:ascii="Garamond" w:hAnsi="Garamond" w:cs="Times New Roman"/>
              </w:rPr>
              <w:t>mn</w:t>
            </w:r>
          </w:p>
        </w:tc>
      </w:tr>
      <w:tr w:rsidR="00F94A9E" w:rsidRPr="0099755A" w14:paraId="44D4081E" w14:textId="77777777" w:rsidTr="00B33EE5">
        <w:trPr>
          <w:trHeight w:val="326"/>
        </w:trPr>
        <w:tc>
          <w:tcPr>
            <w:tcW w:w="3595" w:type="dxa"/>
          </w:tcPr>
          <w:p w14:paraId="217F526E" w14:textId="1DD97DAC" w:rsidR="00F94A9E" w:rsidRPr="0099755A" w:rsidRDefault="00F94A9E" w:rsidP="00F94A9E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Min. size for IPO subscription (per lot)</w:t>
            </w:r>
          </w:p>
        </w:tc>
        <w:tc>
          <w:tcPr>
            <w:tcW w:w="6197" w:type="dxa"/>
          </w:tcPr>
          <w:p w14:paraId="2C89FDA2" w14:textId="3BB70487" w:rsidR="00F94A9E" w:rsidRPr="0099755A" w:rsidRDefault="00F94A9E" w:rsidP="00F94A9E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500</w:t>
            </w:r>
          </w:p>
        </w:tc>
      </w:tr>
      <w:tr w:rsidR="00F94A9E" w:rsidRPr="0099755A" w14:paraId="7E45D593" w14:textId="77777777" w:rsidTr="00B33EE5">
        <w:trPr>
          <w:trHeight w:val="326"/>
        </w:trPr>
        <w:tc>
          <w:tcPr>
            <w:tcW w:w="3595" w:type="dxa"/>
          </w:tcPr>
          <w:p w14:paraId="603D1EF8" w14:textId="21084C9A" w:rsidR="00F94A9E" w:rsidRPr="0099755A" w:rsidRDefault="00F94A9E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/>
              </w:rPr>
              <w:t>Foreign Currency required for NRB and Foreign Applicants (per lot)</w:t>
            </w:r>
          </w:p>
        </w:tc>
        <w:tc>
          <w:tcPr>
            <w:tcW w:w="6197" w:type="dxa"/>
          </w:tcPr>
          <w:p w14:paraId="23DA06DB" w14:textId="12E7ED8B" w:rsidR="00F94A9E" w:rsidRPr="0099755A" w:rsidRDefault="00F94A9E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/>
              </w:rPr>
              <w:t>USD 59.39 or GBP 43.82 or EUR 49.42</w:t>
            </w:r>
          </w:p>
        </w:tc>
      </w:tr>
      <w:tr w:rsidR="000C6008" w:rsidRPr="0099755A" w14:paraId="0BD9DCAE" w14:textId="77777777" w:rsidTr="00B33EE5">
        <w:trPr>
          <w:trHeight w:val="2087"/>
        </w:trPr>
        <w:tc>
          <w:tcPr>
            <w:tcW w:w="3595" w:type="dxa"/>
          </w:tcPr>
          <w:p w14:paraId="5F1738E0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Use of IPO proceeds</w:t>
            </w:r>
          </w:p>
        </w:tc>
        <w:tc>
          <w:tcPr>
            <w:tcW w:w="6197" w:type="dxa"/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3484"/>
              <w:gridCol w:w="2484"/>
            </w:tblGrid>
            <w:tr w:rsidR="00B2064D" w:rsidRPr="0099755A" w14:paraId="71538C47" w14:textId="77777777" w:rsidTr="00F94A9E">
              <w:trPr>
                <w:trHeight w:val="326"/>
              </w:trPr>
              <w:tc>
                <w:tcPr>
                  <w:tcW w:w="3484" w:type="dxa"/>
                </w:tcPr>
                <w:p w14:paraId="18EDCCA8" w14:textId="77777777" w:rsidR="00112509" w:rsidRPr="0099755A" w:rsidRDefault="00112509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Particulars</w:t>
                  </w:r>
                </w:p>
              </w:tc>
              <w:tc>
                <w:tcPr>
                  <w:tcW w:w="2484" w:type="dxa"/>
                </w:tcPr>
                <w:p w14:paraId="75D1165B" w14:textId="7890179F" w:rsidR="00112509" w:rsidRPr="0099755A" w:rsidRDefault="00B33EE5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 xml:space="preserve">    </w:t>
                  </w:r>
                  <w:r w:rsidR="00112509" w:rsidRPr="0099755A">
                    <w:rPr>
                      <w:rFonts w:ascii="Garamond" w:hAnsi="Garamond" w:cs="Times New Roman"/>
                    </w:rPr>
                    <w:t>Amount (BDT)</w:t>
                  </w:r>
                </w:p>
              </w:tc>
            </w:tr>
            <w:tr w:rsidR="00B2064D" w:rsidRPr="0099755A" w14:paraId="43D64AE5" w14:textId="77777777" w:rsidTr="00F94A9E">
              <w:trPr>
                <w:trHeight w:val="326"/>
              </w:trPr>
              <w:tc>
                <w:tcPr>
                  <w:tcW w:w="3484" w:type="dxa"/>
                </w:tcPr>
                <w:p w14:paraId="2D397D4D" w14:textId="314BFCBA" w:rsidR="00112509" w:rsidRPr="0099755A" w:rsidRDefault="00F94A9E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/>
                    </w:rPr>
                    <w:t>Investment in FDR &amp; Treasury Bond</w:t>
                  </w:r>
                  <w:r w:rsidRPr="0099755A">
                    <w:rPr>
                      <w:rFonts w:ascii="Garamond" w:hAnsi="Garamond" w:cs="Times New Roman"/>
                    </w:rPr>
                    <w:t xml:space="preserve"> </w:t>
                  </w:r>
                </w:p>
              </w:tc>
              <w:tc>
                <w:tcPr>
                  <w:tcW w:w="2484" w:type="dxa"/>
                </w:tcPr>
                <w:p w14:paraId="1188B00B" w14:textId="158A057C" w:rsidR="00112509" w:rsidRPr="0099755A" w:rsidRDefault="00F94A9E" w:rsidP="00B2064D">
                  <w:pPr>
                    <w:jc w:val="right"/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/>
                    </w:rPr>
                    <w:t>118</w:t>
                  </w:r>
                  <w:r w:rsidR="009A21CB" w:rsidRPr="0099755A">
                    <w:rPr>
                      <w:rFonts w:ascii="Garamond" w:hAnsi="Garamond"/>
                    </w:rPr>
                    <w:t>.</w:t>
                  </w:r>
                  <w:r w:rsidRPr="0099755A">
                    <w:rPr>
                      <w:rFonts w:ascii="Garamond" w:hAnsi="Garamond"/>
                    </w:rPr>
                    <w:t>43</w:t>
                  </w:r>
                  <w:r w:rsidR="009A21CB" w:rsidRPr="0099755A">
                    <w:rPr>
                      <w:rFonts w:ascii="Garamond" w:hAnsi="Garamond"/>
                    </w:rPr>
                    <w:t>mn</w:t>
                  </w:r>
                  <w:r w:rsidRPr="0099755A">
                    <w:rPr>
                      <w:rFonts w:ascii="Garamond" w:hAnsi="Garamond" w:cs="Times New Roman"/>
                    </w:rPr>
                    <w:t xml:space="preserve"> </w:t>
                  </w:r>
                  <w:r w:rsidR="00112509" w:rsidRPr="0099755A">
                    <w:rPr>
                      <w:rFonts w:ascii="Garamond" w:hAnsi="Garamond" w:cs="Times New Roman"/>
                    </w:rPr>
                    <w:t>(</w:t>
                  </w:r>
                  <w:r w:rsidR="009A21CB" w:rsidRPr="0099755A">
                    <w:rPr>
                      <w:rFonts w:ascii="Garamond" w:hAnsi="Garamond" w:cs="Times New Roman"/>
                    </w:rPr>
                    <w:t>74.02</w:t>
                  </w:r>
                  <w:r w:rsidR="00112509" w:rsidRPr="0099755A">
                    <w:rPr>
                      <w:rFonts w:ascii="Garamond" w:hAnsi="Garamond" w:cs="Times New Roman"/>
                    </w:rPr>
                    <w:t>%)</w:t>
                  </w:r>
                </w:p>
              </w:tc>
            </w:tr>
            <w:tr w:rsidR="00B2064D" w:rsidRPr="0099755A" w14:paraId="0C2826D2" w14:textId="77777777" w:rsidTr="00F94A9E">
              <w:trPr>
                <w:trHeight w:val="368"/>
              </w:trPr>
              <w:tc>
                <w:tcPr>
                  <w:tcW w:w="3484" w:type="dxa"/>
                </w:tcPr>
                <w:p w14:paraId="0F04162D" w14:textId="1BAC5D69" w:rsidR="00112509" w:rsidRPr="0099755A" w:rsidRDefault="00F94A9E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/>
                    </w:rPr>
                    <w:t>Investment in Capital Market of Bangladesh</w:t>
                  </w:r>
                </w:p>
              </w:tc>
              <w:tc>
                <w:tcPr>
                  <w:tcW w:w="2484" w:type="dxa"/>
                </w:tcPr>
                <w:p w14:paraId="2AD36DCD" w14:textId="2D8F8CF3" w:rsidR="00112509" w:rsidRPr="0099755A" w:rsidRDefault="007A694A" w:rsidP="00B2064D">
                  <w:pPr>
                    <w:jc w:val="right"/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 xml:space="preserve">   </w:t>
                  </w:r>
                  <w:r w:rsidR="00B2064D" w:rsidRPr="0099755A">
                    <w:rPr>
                      <w:rFonts w:ascii="Garamond" w:hAnsi="Garamond" w:cs="Times New Roman"/>
                    </w:rPr>
                    <w:t xml:space="preserve"> </w:t>
                  </w:r>
                  <w:r w:rsidR="009A21CB" w:rsidRPr="0099755A">
                    <w:rPr>
                      <w:rFonts w:ascii="Garamond" w:hAnsi="Garamond"/>
                    </w:rPr>
                    <w:t>32</w:t>
                  </w:r>
                  <w:r w:rsidR="009A21CB" w:rsidRPr="0099755A">
                    <w:rPr>
                      <w:rFonts w:ascii="Garamond" w:hAnsi="Garamond"/>
                    </w:rPr>
                    <w:t>.00</w:t>
                  </w:r>
                  <w:r w:rsidR="00FC769B" w:rsidRPr="0099755A">
                    <w:rPr>
                      <w:rFonts w:ascii="Garamond" w:hAnsi="Garamond" w:cs="Times New Roman"/>
                    </w:rPr>
                    <w:t xml:space="preserve">mn </w:t>
                  </w:r>
                  <w:r w:rsidR="00112509" w:rsidRPr="0099755A">
                    <w:rPr>
                      <w:rFonts w:ascii="Garamond" w:hAnsi="Garamond" w:cs="Times New Roman"/>
                    </w:rPr>
                    <w:t>(</w:t>
                  </w:r>
                  <w:r w:rsidR="00C45C25" w:rsidRPr="0099755A">
                    <w:rPr>
                      <w:rFonts w:ascii="Garamond" w:hAnsi="Garamond" w:cs="Times New Roman"/>
                    </w:rPr>
                    <w:t>2</w:t>
                  </w:r>
                  <w:r w:rsidR="009A21CB" w:rsidRPr="0099755A">
                    <w:rPr>
                      <w:rFonts w:ascii="Garamond" w:hAnsi="Garamond" w:cs="Times New Roman"/>
                    </w:rPr>
                    <w:t>0.00</w:t>
                  </w:r>
                  <w:r w:rsidR="00112509" w:rsidRPr="0099755A">
                    <w:rPr>
                      <w:rFonts w:ascii="Garamond" w:hAnsi="Garamond" w:cs="Times New Roman"/>
                    </w:rPr>
                    <w:t>%)</w:t>
                  </w:r>
                </w:p>
              </w:tc>
            </w:tr>
            <w:tr w:rsidR="00B2064D" w:rsidRPr="0099755A" w14:paraId="69EF89FE" w14:textId="77777777" w:rsidTr="00F94A9E">
              <w:trPr>
                <w:trHeight w:val="313"/>
              </w:trPr>
              <w:tc>
                <w:tcPr>
                  <w:tcW w:w="3484" w:type="dxa"/>
                </w:tcPr>
                <w:p w14:paraId="3ADD40BE" w14:textId="77777777" w:rsidR="00112509" w:rsidRPr="0099755A" w:rsidRDefault="00112509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IPO Expenses</w:t>
                  </w:r>
                </w:p>
              </w:tc>
              <w:tc>
                <w:tcPr>
                  <w:tcW w:w="2484" w:type="dxa"/>
                </w:tcPr>
                <w:p w14:paraId="55098992" w14:textId="313F0504" w:rsidR="00112509" w:rsidRPr="0099755A" w:rsidRDefault="00112509" w:rsidP="00B2064D">
                  <w:pPr>
                    <w:jc w:val="right"/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 xml:space="preserve">  </w:t>
                  </w:r>
                  <w:r w:rsidR="007A694A" w:rsidRPr="0099755A">
                    <w:rPr>
                      <w:rFonts w:ascii="Garamond" w:hAnsi="Garamond" w:cs="Times New Roman"/>
                    </w:rPr>
                    <w:t xml:space="preserve">  </w:t>
                  </w:r>
                  <w:r w:rsidR="009A21CB" w:rsidRPr="0099755A">
                    <w:rPr>
                      <w:rFonts w:ascii="Garamond" w:hAnsi="Garamond" w:cs="Times New Roman"/>
                    </w:rPr>
                    <w:t>9.57</w:t>
                  </w:r>
                  <w:r w:rsidRPr="0099755A">
                    <w:rPr>
                      <w:rFonts w:ascii="Garamond" w:hAnsi="Garamond" w:cs="Times New Roman"/>
                    </w:rPr>
                    <w:t>mn (</w:t>
                  </w:r>
                  <w:r w:rsidR="009A21CB" w:rsidRPr="0099755A">
                    <w:rPr>
                      <w:rFonts w:ascii="Garamond" w:hAnsi="Garamond" w:cs="Times New Roman"/>
                    </w:rPr>
                    <w:t>05.98</w:t>
                  </w:r>
                  <w:r w:rsidRPr="0099755A">
                    <w:rPr>
                      <w:rFonts w:ascii="Garamond" w:hAnsi="Garamond" w:cs="Times New Roman"/>
                    </w:rPr>
                    <w:t>%)</w:t>
                  </w:r>
                </w:p>
              </w:tc>
            </w:tr>
            <w:tr w:rsidR="00B2064D" w:rsidRPr="0099755A" w14:paraId="3373CE5F" w14:textId="77777777" w:rsidTr="00F94A9E">
              <w:trPr>
                <w:trHeight w:val="326"/>
              </w:trPr>
              <w:tc>
                <w:tcPr>
                  <w:tcW w:w="3484" w:type="dxa"/>
                </w:tcPr>
                <w:p w14:paraId="258DBAF4" w14:textId="77777777" w:rsidR="00112509" w:rsidRPr="0099755A" w:rsidRDefault="00112509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Total</w:t>
                  </w:r>
                </w:p>
              </w:tc>
              <w:tc>
                <w:tcPr>
                  <w:tcW w:w="2484" w:type="dxa"/>
                </w:tcPr>
                <w:p w14:paraId="4949E8C6" w14:textId="4BFEB7D3" w:rsidR="00112509" w:rsidRPr="0099755A" w:rsidRDefault="00B33EE5" w:rsidP="00B2064D">
                  <w:pPr>
                    <w:jc w:val="center"/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 xml:space="preserve">     </w:t>
                  </w:r>
                  <w:r w:rsidR="0099755A">
                    <w:rPr>
                      <w:rFonts w:ascii="Garamond" w:hAnsi="Garamond" w:cs="Times New Roman"/>
                    </w:rPr>
                    <w:t xml:space="preserve">   </w:t>
                  </w:r>
                  <w:r w:rsidR="007A694A" w:rsidRPr="0099755A">
                    <w:rPr>
                      <w:rFonts w:ascii="Garamond" w:hAnsi="Garamond" w:cs="Times New Roman"/>
                    </w:rPr>
                    <w:t xml:space="preserve"> </w:t>
                  </w:r>
                  <w:r w:rsidR="00FC769B" w:rsidRPr="0099755A">
                    <w:rPr>
                      <w:rFonts w:ascii="Garamond" w:hAnsi="Garamond" w:cs="Times New Roman"/>
                    </w:rPr>
                    <w:t>1</w:t>
                  </w:r>
                  <w:r w:rsidR="009A21CB" w:rsidRPr="0099755A">
                    <w:rPr>
                      <w:rFonts w:ascii="Garamond" w:hAnsi="Garamond" w:cs="Times New Roman"/>
                    </w:rPr>
                    <w:t>6</w:t>
                  </w:r>
                  <w:r w:rsidR="00B2064D" w:rsidRPr="0099755A">
                    <w:rPr>
                      <w:rFonts w:ascii="Garamond" w:hAnsi="Garamond" w:cs="Times New Roman"/>
                    </w:rPr>
                    <w:t>0</w:t>
                  </w:r>
                  <w:r w:rsidR="002B0AD4" w:rsidRPr="0099755A">
                    <w:rPr>
                      <w:rFonts w:ascii="Garamond" w:hAnsi="Garamond" w:cs="Times New Roman"/>
                    </w:rPr>
                    <w:t>.00</w:t>
                  </w:r>
                  <w:r w:rsidR="00112509" w:rsidRPr="0099755A">
                    <w:rPr>
                      <w:rFonts w:ascii="Garamond" w:hAnsi="Garamond" w:cs="Times New Roman"/>
                    </w:rPr>
                    <w:t>mn (100%)</w:t>
                  </w:r>
                </w:p>
              </w:tc>
            </w:tr>
          </w:tbl>
          <w:p w14:paraId="7CC0CF33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</w:p>
        </w:tc>
      </w:tr>
      <w:tr w:rsidR="000874BE" w:rsidRPr="0099755A" w14:paraId="1D0CA187" w14:textId="77777777" w:rsidTr="00B33EE5">
        <w:trPr>
          <w:trHeight w:val="313"/>
        </w:trPr>
        <w:tc>
          <w:tcPr>
            <w:tcW w:w="3595" w:type="dxa"/>
          </w:tcPr>
          <w:p w14:paraId="3FF3AA25" w14:textId="6666E8C8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NAV Per Share</w:t>
            </w:r>
          </w:p>
        </w:tc>
        <w:tc>
          <w:tcPr>
            <w:tcW w:w="6197" w:type="dxa"/>
          </w:tcPr>
          <w:p w14:paraId="01D32A5B" w14:textId="46DF2C5B" w:rsidR="00112509" w:rsidRPr="0099755A" w:rsidRDefault="009A21CB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/>
              </w:rPr>
              <w:t>T</w:t>
            </w:r>
            <w:r w:rsidRPr="0099755A">
              <w:rPr>
                <w:rFonts w:ascii="Garamond" w:hAnsi="Garamond"/>
              </w:rPr>
              <w:t>k.</w:t>
            </w:r>
            <w:r w:rsidRPr="0099755A">
              <w:rPr>
                <w:rFonts w:ascii="Garamond" w:hAnsi="Garamond"/>
              </w:rPr>
              <w:t xml:space="preserve"> 11.62 as on December 31, 2019</w:t>
            </w:r>
          </w:p>
        </w:tc>
      </w:tr>
      <w:tr w:rsidR="000874BE" w:rsidRPr="0099755A" w14:paraId="72BA4EE7" w14:textId="77777777" w:rsidTr="00B33EE5">
        <w:trPr>
          <w:trHeight w:val="313"/>
        </w:trPr>
        <w:tc>
          <w:tcPr>
            <w:tcW w:w="3595" w:type="dxa"/>
          </w:tcPr>
          <w:p w14:paraId="089D81EE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  <w:proofErr w:type="spellStart"/>
            <w:r w:rsidRPr="0099755A">
              <w:rPr>
                <w:rFonts w:ascii="Garamond" w:hAnsi="Garamond" w:cs="Times New Roman"/>
              </w:rPr>
              <w:t>Earning</w:t>
            </w:r>
            <w:proofErr w:type="spellEnd"/>
            <w:r w:rsidRPr="0099755A">
              <w:rPr>
                <w:rFonts w:ascii="Garamond" w:hAnsi="Garamond" w:cs="Times New Roman"/>
              </w:rPr>
              <w:t xml:space="preserve"> Per Share (EPS)</w:t>
            </w:r>
          </w:p>
        </w:tc>
        <w:tc>
          <w:tcPr>
            <w:tcW w:w="6197" w:type="dxa"/>
          </w:tcPr>
          <w:p w14:paraId="1D8E2F53" w14:textId="7CDE01E1" w:rsidR="00956988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 xml:space="preserve">Tk. </w:t>
            </w:r>
            <w:r w:rsidR="00C45C25" w:rsidRPr="0099755A">
              <w:rPr>
                <w:rFonts w:ascii="Garamond" w:hAnsi="Garamond" w:cs="Times New Roman"/>
              </w:rPr>
              <w:t>1.</w:t>
            </w:r>
            <w:r w:rsidR="009A21CB" w:rsidRPr="0099755A">
              <w:rPr>
                <w:rFonts w:ascii="Garamond" w:hAnsi="Garamond" w:cs="Times New Roman"/>
              </w:rPr>
              <w:t>36</w:t>
            </w:r>
            <w:r w:rsidR="00C45C25" w:rsidRPr="0099755A">
              <w:rPr>
                <w:rFonts w:ascii="Garamond" w:hAnsi="Garamond" w:cs="Times New Roman"/>
              </w:rPr>
              <w:t xml:space="preserve"> for the year ended </w:t>
            </w:r>
            <w:r w:rsidR="009A21CB" w:rsidRPr="0099755A">
              <w:rPr>
                <w:rFonts w:ascii="Garamond" w:hAnsi="Garamond" w:cs="Times New Roman"/>
              </w:rPr>
              <w:t>December 31, 2019</w:t>
            </w:r>
          </w:p>
        </w:tc>
      </w:tr>
      <w:tr w:rsidR="000874BE" w:rsidRPr="0099755A" w14:paraId="4DCC5642" w14:textId="77777777" w:rsidTr="00B33EE5">
        <w:trPr>
          <w:trHeight w:val="313"/>
        </w:trPr>
        <w:tc>
          <w:tcPr>
            <w:tcW w:w="3595" w:type="dxa"/>
          </w:tcPr>
          <w:p w14:paraId="7071E642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Dividend History</w:t>
            </w:r>
          </w:p>
        </w:tc>
        <w:tc>
          <w:tcPr>
            <w:tcW w:w="619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1210"/>
              <w:gridCol w:w="1209"/>
              <w:gridCol w:w="1209"/>
              <w:gridCol w:w="1209"/>
            </w:tblGrid>
            <w:tr w:rsidR="009A21CB" w:rsidRPr="0099755A" w14:paraId="1C41BBC4" w14:textId="77777777" w:rsidTr="009A21CB">
              <w:tc>
                <w:tcPr>
                  <w:tcW w:w="1134" w:type="dxa"/>
                </w:tcPr>
                <w:p w14:paraId="6E789B5E" w14:textId="200F2DD3" w:rsidR="00F00D4A" w:rsidRPr="0099755A" w:rsidRDefault="00F00D4A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Dividend</w:t>
                  </w:r>
                </w:p>
              </w:tc>
              <w:tc>
                <w:tcPr>
                  <w:tcW w:w="1210" w:type="dxa"/>
                </w:tcPr>
                <w:p w14:paraId="23ED608F" w14:textId="67F38CE9" w:rsidR="00F00D4A" w:rsidRPr="0099755A" w:rsidRDefault="00F00D4A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3</w:t>
                  </w:r>
                  <w:r w:rsidR="009A21CB" w:rsidRPr="0099755A">
                    <w:rPr>
                      <w:rFonts w:ascii="Garamond" w:hAnsi="Garamond" w:cs="Times New Roman"/>
                    </w:rPr>
                    <w:t>1</w:t>
                  </w:r>
                  <w:r w:rsidRPr="0099755A">
                    <w:rPr>
                      <w:rFonts w:ascii="Garamond" w:hAnsi="Garamond" w:cs="Times New Roman"/>
                    </w:rPr>
                    <w:t>.</w:t>
                  </w:r>
                  <w:r w:rsidR="009A21CB" w:rsidRPr="0099755A">
                    <w:rPr>
                      <w:rFonts w:ascii="Garamond" w:hAnsi="Garamond" w:cs="Times New Roman"/>
                    </w:rPr>
                    <w:t>12</w:t>
                  </w:r>
                  <w:r w:rsidRPr="0099755A">
                    <w:rPr>
                      <w:rFonts w:ascii="Garamond" w:hAnsi="Garamond" w:cs="Times New Roman"/>
                    </w:rPr>
                    <w:t>.201</w:t>
                  </w:r>
                  <w:r w:rsidR="00C45C25" w:rsidRPr="0099755A">
                    <w:rPr>
                      <w:rFonts w:ascii="Garamond" w:hAnsi="Garamond" w:cs="Times New Roman"/>
                    </w:rPr>
                    <w:t>9</w:t>
                  </w:r>
                </w:p>
              </w:tc>
              <w:tc>
                <w:tcPr>
                  <w:tcW w:w="1209" w:type="dxa"/>
                </w:tcPr>
                <w:p w14:paraId="649E07B8" w14:textId="02A0D39E" w:rsidR="00F00D4A" w:rsidRPr="0099755A" w:rsidRDefault="00F00D4A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3</w:t>
                  </w:r>
                  <w:r w:rsidR="009A21CB" w:rsidRPr="0099755A">
                    <w:rPr>
                      <w:rFonts w:ascii="Garamond" w:hAnsi="Garamond" w:cs="Times New Roman"/>
                    </w:rPr>
                    <w:t>1</w:t>
                  </w:r>
                  <w:r w:rsidRPr="0099755A">
                    <w:rPr>
                      <w:rFonts w:ascii="Garamond" w:hAnsi="Garamond" w:cs="Times New Roman"/>
                    </w:rPr>
                    <w:t>.</w:t>
                  </w:r>
                  <w:r w:rsidR="009A21CB" w:rsidRPr="0099755A">
                    <w:rPr>
                      <w:rFonts w:ascii="Garamond" w:hAnsi="Garamond" w:cs="Times New Roman"/>
                    </w:rPr>
                    <w:t>12</w:t>
                  </w:r>
                  <w:r w:rsidRPr="0099755A">
                    <w:rPr>
                      <w:rFonts w:ascii="Garamond" w:hAnsi="Garamond" w:cs="Times New Roman"/>
                    </w:rPr>
                    <w:t>.201</w:t>
                  </w:r>
                  <w:r w:rsidR="00C45C25" w:rsidRPr="0099755A">
                    <w:rPr>
                      <w:rFonts w:ascii="Garamond" w:hAnsi="Garamond" w:cs="Times New Roman"/>
                    </w:rPr>
                    <w:t>8</w:t>
                  </w:r>
                </w:p>
              </w:tc>
              <w:tc>
                <w:tcPr>
                  <w:tcW w:w="1209" w:type="dxa"/>
                </w:tcPr>
                <w:p w14:paraId="1D9AF969" w14:textId="75263837" w:rsidR="00F00D4A" w:rsidRPr="0099755A" w:rsidRDefault="00F00D4A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3</w:t>
                  </w:r>
                  <w:r w:rsidR="009A21CB" w:rsidRPr="0099755A">
                    <w:rPr>
                      <w:rFonts w:ascii="Garamond" w:hAnsi="Garamond" w:cs="Times New Roman"/>
                    </w:rPr>
                    <w:t>1</w:t>
                  </w:r>
                  <w:r w:rsidRPr="0099755A">
                    <w:rPr>
                      <w:rFonts w:ascii="Garamond" w:hAnsi="Garamond" w:cs="Times New Roman"/>
                    </w:rPr>
                    <w:t>.</w:t>
                  </w:r>
                  <w:r w:rsidR="009A21CB" w:rsidRPr="0099755A">
                    <w:rPr>
                      <w:rFonts w:ascii="Garamond" w:hAnsi="Garamond" w:cs="Times New Roman"/>
                    </w:rPr>
                    <w:t>12.</w:t>
                  </w:r>
                  <w:r w:rsidRPr="0099755A">
                    <w:rPr>
                      <w:rFonts w:ascii="Garamond" w:hAnsi="Garamond" w:cs="Times New Roman"/>
                    </w:rPr>
                    <w:t>201</w:t>
                  </w:r>
                  <w:r w:rsidR="00C45C25" w:rsidRPr="0099755A">
                    <w:rPr>
                      <w:rFonts w:ascii="Garamond" w:hAnsi="Garamond" w:cs="Times New Roman"/>
                    </w:rPr>
                    <w:t>7</w:t>
                  </w:r>
                </w:p>
              </w:tc>
              <w:tc>
                <w:tcPr>
                  <w:tcW w:w="1209" w:type="dxa"/>
                </w:tcPr>
                <w:p w14:paraId="5D5EE345" w14:textId="31B15DA4" w:rsidR="00F00D4A" w:rsidRPr="0099755A" w:rsidRDefault="00F00D4A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3</w:t>
                  </w:r>
                  <w:r w:rsidR="009A21CB" w:rsidRPr="0099755A">
                    <w:rPr>
                      <w:rFonts w:ascii="Garamond" w:hAnsi="Garamond" w:cs="Times New Roman"/>
                    </w:rPr>
                    <w:t>1</w:t>
                  </w:r>
                  <w:r w:rsidRPr="0099755A">
                    <w:rPr>
                      <w:rFonts w:ascii="Garamond" w:hAnsi="Garamond" w:cs="Times New Roman"/>
                    </w:rPr>
                    <w:t>.</w:t>
                  </w:r>
                  <w:r w:rsidR="009A21CB" w:rsidRPr="0099755A">
                    <w:rPr>
                      <w:rFonts w:ascii="Garamond" w:hAnsi="Garamond" w:cs="Times New Roman"/>
                    </w:rPr>
                    <w:t>12</w:t>
                  </w:r>
                  <w:r w:rsidRPr="0099755A">
                    <w:rPr>
                      <w:rFonts w:ascii="Garamond" w:hAnsi="Garamond" w:cs="Times New Roman"/>
                    </w:rPr>
                    <w:t>.201</w:t>
                  </w:r>
                  <w:r w:rsidR="00C45C25" w:rsidRPr="0099755A">
                    <w:rPr>
                      <w:rFonts w:ascii="Garamond" w:hAnsi="Garamond" w:cs="Times New Roman"/>
                    </w:rPr>
                    <w:t>6</w:t>
                  </w:r>
                </w:p>
              </w:tc>
            </w:tr>
            <w:tr w:rsidR="009A21CB" w:rsidRPr="0099755A" w14:paraId="38F240B9" w14:textId="77777777" w:rsidTr="009A21CB">
              <w:tc>
                <w:tcPr>
                  <w:tcW w:w="1134" w:type="dxa"/>
                </w:tcPr>
                <w:p w14:paraId="20CCFEAF" w14:textId="6817EFE9" w:rsidR="00F00D4A" w:rsidRPr="0099755A" w:rsidRDefault="00F00D4A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Cash</w:t>
                  </w:r>
                </w:p>
              </w:tc>
              <w:tc>
                <w:tcPr>
                  <w:tcW w:w="1210" w:type="dxa"/>
                </w:tcPr>
                <w:p w14:paraId="7353470E" w14:textId="1B4313E1" w:rsidR="00F00D4A" w:rsidRPr="0099755A" w:rsidRDefault="009A21CB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12%</w:t>
                  </w:r>
                </w:p>
              </w:tc>
              <w:tc>
                <w:tcPr>
                  <w:tcW w:w="1209" w:type="dxa"/>
                </w:tcPr>
                <w:p w14:paraId="5CD9C8DD" w14:textId="379C4DC1" w:rsidR="00F00D4A" w:rsidRPr="0099755A" w:rsidRDefault="009A21CB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10%</w:t>
                  </w:r>
                </w:p>
              </w:tc>
              <w:tc>
                <w:tcPr>
                  <w:tcW w:w="1209" w:type="dxa"/>
                </w:tcPr>
                <w:p w14:paraId="29FBABF7" w14:textId="25296262" w:rsidR="00F00D4A" w:rsidRPr="0099755A" w:rsidRDefault="009A21CB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10%</w:t>
                  </w:r>
                </w:p>
              </w:tc>
              <w:tc>
                <w:tcPr>
                  <w:tcW w:w="1209" w:type="dxa"/>
                </w:tcPr>
                <w:p w14:paraId="3700E8DD" w14:textId="7FB811F2" w:rsidR="00F00D4A" w:rsidRPr="0099755A" w:rsidRDefault="009A21CB" w:rsidP="00112509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11%</w:t>
                  </w:r>
                </w:p>
              </w:tc>
            </w:tr>
            <w:tr w:rsidR="009A21CB" w:rsidRPr="0099755A" w14:paraId="38DB4C9B" w14:textId="77777777" w:rsidTr="009A21CB">
              <w:tc>
                <w:tcPr>
                  <w:tcW w:w="1134" w:type="dxa"/>
                </w:tcPr>
                <w:p w14:paraId="40A9DC43" w14:textId="42EEEF00" w:rsidR="009A21CB" w:rsidRPr="0099755A" w:rsidRDefault="009A21CB" w:rsidP="009A21CB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Stock</w:t>
                  </w:r>
                </w:p>
              </w:tc>
              <w:tc>
                <w:tcPr>
                  <w:tcW w:w="1210" w:type="dxa"/>
                </w:tcPr>
                <w:p w14:paraId="4F73D520" w14:textId="779EA312" w:rsidR="009A21CB" w:rsidRPr="0099755A" w:rsidRDefault="009A21CB" w:rsidP="009A21CB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NIL</w:t>
                  </w:r>
                </w:p>
              </w:tc>
              <w:tc>
                <w:tcPr>
                  <w:tcW w:w="1209" w:type="dxa"/>
                </w:tcPr>
                <w:p w14:paraId="29C3FDD9" w14:textId="13BB895D" w:rsidR="009A21CB" w:rsidRPr="0099755A" w:rsidRDefault="009A21CB" w:rsidP="009A21CB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NIL</w:t>
                  </w:r>
                </w:p>
              </w:tc>
              <w:tc>
                <w:tcPr>
                  <w:tcW w:w="1209" w:type="dxa"/>
                </w:tcPr>
                <w:p w14:paraId="5EEE43C6" w14:textId="1B775AA9" w:rsidR="009A21CB" w:rsidRPr="0099755A" w:rsidRDefault="009A21CB" w:rsidP="009A21CB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NIL</w:t>
                  </w:r>
                </w:p>
              </w:tc>
              <w:tc>
                <w:tcPr>
                  <w:tcW w:w="1209" w:type="dxa"/>
                </w:tcPr>
                <w:p w14:paraId="75AAE9E1" w14:textId="13286F31" w:rsidR="009A21CB" w:rsidRPr="0099755A" w:rsidRDefault="009A21CB" w:rsidP="009A21CB">
                  <w:pPr>
                    <w:rPr>
                      <w:rFonts w:ascii="Garamond" w:hAnsi="Garamond" w:cs="Times New Roman"/>
                    </w:rPr>
                  </w:pPr>
                  <w:r w:rsidRPr="0099755A">
                    <w:rPr>
                      <w:rFonts w:ascii="Garamond" w:hAnsi="Garamond" w:cs="Times New Roman"/>
                    </w:rPr>
                    <w:t>NIL</w:t>
                  </w:r>
                </w:p>
              </w:tc>
            </w:tr>
          </w:tbl>
          <w:p w14:paraId="5C9B5302" w14:textId="1C4639E9" w:rsidR="001A4B19" w:rsidRPr="0099755A" w:rsidRDefault="001A4B19" w:rsidP="00112509">
            <w:pPr>
              <w:rPr>
                <w:rFonts w:ascii="Garamond" w:hAnsi="Garamond" w:cs="Times New Roman"/>
              </w:rPr>
            </w:pPr>
          </w:p>
        </w:tc>
      </w:tr>
      <w:tr w:rsidR="000874BE" w:rsidRPr="0099755A" w14:paraId="30DB5EF4" w14:textId="77777777" w:rsidTr="00B33EE5">
        <w:trPr>
          <w:trHeight w:val="350"/>
        </w:trPr>
        <w:tc>
          <w:tcPr>
            <w:tcW w:w="3595" w:type="dxa"/>
          </w:tcPr>
          <w:p w14:paraId="3315F659" w14:textId="1F5493FB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Issue Manager</w:t>
            </w:r>
            <w:r w:rsidR="005B76FD" w:rsidRPr="0099755A">
              <w:rPr>
                <w:rFonts w:ascii="Garamond" w:hAnsi="Garamond" w:cs="Times New Roman"/>
              </w:rPr>
              <w:t>s</w:t>
            </w:r>
          </w:p>
        </w:tc>
        <w:tc>
          <w:tcPr>
            <w:tcW w:w="6197" w:type="dxa"/>
          </w:tcPr>
          <w:p w14:paraId="6C987C09" w14:textId="3CFC99BE" w:rsidR="00112509" w:rsidRPr="0099755A" w:rsidRDefault="009A21CB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/>
              </w:rPr>
              <w:t>Prime Finance Capital Management Limited</w:t>
            </w:r>
          </w:p>
        </w:tc>
      </w:tr>
      <w:tr w:rsidR="000874BE" w:rsidRPr="0099755A" w14:paraId="61887D79" w14:textId="77777777" w:rsidTr="00B33EE5">
        <w:trPr>
          <w:trHeight w:val="313"/>
        </w:trPr>
        <w:tc>
          <w:tcPr>
            <w:tcW w:w="3595" w:type="dxa"/>
          </w:tcPr>
          <w:p w14:paraId="6AD68FE1" w14:textId="77777777" w:rsidR="00112509" w:rsidRPr="0099755A" w:rsidRDefault="00112509" w:rsidP="00112509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>Auditor</w:t>
            </w:r>
          </w:p>
        </w:tc>
        <w:tc>
          <w:tcPr>
            <w:tcW w:w="6197" w:type="dxa"/>
          </w:tcPr>
          <w:p w14:paraId="445A9164" w14:textId="578AC78D" w:rsidR="00112509" w:rsidRPr="0099755A" w:rsidRDefault="0099755A" w:rsidP="00602842">
            <w:pPr>
              <w:rPr>
                <w:rFonts w:ascii="Garamond" w:hAnsi="Garamond" w:cs="Times New Roman"/>
              </w:rPr>
            </w:pPr>
            <w:r w:rsidRPr="0099755A">
              <w:rPr>
                <w:rFonts w:ascii="Garamond" w:hAnsi="Garamond" w:cs="Times New Roman"/>
              </w:rPr>
              <w:t xml:space="preserve">Rahman Mostafa </w:t>
            </w:r>
            <w:proofErr w:type="spellStart"/>
            <w:r w:rsidRPr="0099755A">
              <w:rPr>
                <w:rFonts w:ascii="Garamond" w:hAnsi="Garamond" w:cs="Times New Roman"/>
              </w:rPr>
              <w:t>Alam</w:t>
            </w:r>
            <w:proofErr w:type="spellEnd"/>
            <w:r w:rsidRPr="0099755A">
              <w:rPr>
                <w:rFonts w:ascii="Garamond" w:hAnsi="Garamond" w:cs="Times New Roman"/>
              </w:rPr>
              <w:t xml:space="preserve"> &amp; Co</w:t>
            </w:r>
            <w:r w:rsidRPr="0099755A">
              <w:rPr>
                <w:rFonts w:ascii="Garamond" w:hAnsi="Garamond" w:cs="Times New Roman"/>
              </w:rPr>
              <w:t>, Chartered Accountants</w:t>
            </w:r>
          </w:p>
        </w:tc>
      </w:tr>
    </w:tbl>
    <w:p w14:paraId="38ADC1C3" w14:textId="77777777" w:rsidR="00A872DD" w:rsidRPr="0099755A" w:rsidRDefault="00F14F41" w:rsidP="00BB69E8">
      <w:pPr>
        <w:rPr>
          <w:rFonts w:ascii="Garamond" w:hAnsi="Garamond" w:cs="Times New Roman"/>
        </w:rPr>
      </w:pPr>
    </w:p>
    <w:sectPr w:rsidR="00A872DD" w:rsidRPr="0099755A" w:rsidSect="00E669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AB010" w14:textId="77777777" w:rsidR="00F14F41" w:rsidRDefault="00F14F41" w:rsidP="00D06126">
      <w:pPr>
        <w:spacing w:after="0" w:line="240" w:lineRule="auto"/>
      </w:pPr>
      <w:r>
        <w:separator/>
      </w:r>
    </w:p>
  </w:endnote>
  <w:endnote w:type="continuationSeparator" w:id="0">
    <w:p w14:paraId="531418CE" w14:textId="77777777" w:rsidR="00F14F41" w:rsidRDefault="00F14F41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0E3F7" w14:textId="77777777" w:rsidR="00F14F41" w:rsidRDefault="00F14F41" w:rsidP="00D06126">
      <w:pPr>
        <w:spacing w:after="0" w:line="240" w:lineRule="auto"/>
      </w:pPr>
      <w:r>
        <w:separator/>
      </w:r>
    </w:p>
  </w:footnote>
  <w:footnote w:type="continuationSeparator" w:id="0">
    <w:p w14:paraId="024AE3D5" w14:textId="77777777" w:rsidR="00F14F41" w:rsidRDefault="00F14F41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F0A7B" w14:textId="77777777" w:rsidR="00C908A1" w:rsidRPr="00C908A1" w:rsidRDefault="00C908A1" w:rsidP="00D06126">
    <w:pPr>
      <w:pStyle w:val="Header"/>
      <w:jc w:val="center"/>
      <w:rPr>
        <w:rFonts w:ascii="Garamond" w:hAnsi="Garamond"/>
        <w:b/>
        <w:sz w:val="26"/>
        <w:szCs w:val="26"/>
      </w:rPr>
    </w:pPr>
    <w:proofErr w:type="spellStart"/>
    <w:r w:rsidRPr="00C908A1">
      <w:rPr>
        <w:rFonts w:ascii="Garamond" w:hAnsi="Garamond"/>
        <w:sz w:val="26"/>
        <w:szCs w:val="26"/>
      </w:rPr>
      <w:t>Desh</w:t>
    </w:r>
    <w:proofErr w:type="spellEnd"/>
    <w:r w:rsidRPr="00C908A1">
      <w:rPr>
        <w:rFonts w:ascii="Garamond" w:hAnsi="Garamond"/>
        <w:sz w:val="26"/>
        <w:szCs w:val="26"/>
      </w:rPr>
      <w:t xml:space="preserve"> General Insurance Company Limited</w:t>
    </w:r>
    <w:r w:rsidRPr="00C908A1">
      <w:rPr>
        <w:rFonts w:ascii="Garamond" w:hAnsi="Garamond"/>
        <w:b/>
        <w:sz w:val="26"/>
        <w:szCs w:val="26"/>
      </w:rPr>
      <w:t xml:space="preserve"> </w:t>
    </w:r>
  </w:p>
  <w:p w14:paraId="3984F9E6" w14:textId="7162965B" w:rsidR="00D06126" w:rsidRDefault="00D06126" w:rsidP="00D06126">
    <w:pPr>
      <w:pStyle w:val="Header"/>
      <w:jc w:val="center"/>
    </w:pPr>
    <w:r w:rsidRPr="0023480B">
      <w:rPr>
        <w:b/>
      </w:rPr>
      <w:t>(As per prospectus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059DF"/>
    <w:rsid w:val="00042ACF"/>
    <w:rsid w:val="00056E57"/>
    <w:rsid w:val="00066477"/>
    <w:rsid w:val="00074F45"/>
    <w:rsid w:val="00086961"/>
    <w:rsid w:val="000874BE"/>
    <w:rsid w:val="000C6008"/>
    <w:rsid w:val="000D0A03"/>
    <w:rsid w:val="000E1378"/>
    <w:rsid w:val="00112509"/>
    <w:rsid w:val="0019000D"/>
    <w:rsid w:val="00192E28"/>
    <w:rsid w:val="0019701D"/>
    <w:rsid w:val="001A4B19"/>
    <w:rsid w:val="001D2E39"/>
    <w:rsid w:val="0022574E"/>
    <w:rsid w:val="0023480B"/>
    <w:rsid w:val="002417DF"/>
    <w:rsid w:val="00246398"/>
    <w:rsid w:val="00284F4D"/>
    <w:rsid w:val="0028673A"/>
    <w:rsid w:val="00295F0A"/>
    <w:rsid w:val="002A6471"/>
    <w:rsid w:val="002B0AD4"/>
    <w:rsid w:val="002B28F4"/>
    <w:rsid w:val="002B722E"/>
    <w:rsid w:val="002D4E47"/>
    <w:rsid w:val="002F1672"/>
    <w:rsid w:val="003047BC"/>
    <w:rsid w:val="003154CB"/>
    <w:rsid w:val="00385BAF"/>
    <w:rsid w:val="003906B8"/>
    <w:rsid w:val="003A37B3"/>
    <w:rsid w:val="003E187B"/>
    <w:rsid w:val="003E617C"/>
    <w:rsid w:val="003F4CCD"/>
    <w:rsid w:val="00405BDB"/>
    <w:rsid w:val="004372F7"/>
    <w:rsid w:val="00461DB0"/>
    <w:rsid w:val="004A22C6"/>
    <w:rsid w:val="004E0A66"/>
    <w:rsid w:val="004E436A"/>
    <w:rsid w:val="004F7E23"/>
    <w:rsid w:val="00540989"/>
    <w:rsid w:val="00565B10"/>
    <w:rsid w:val="005760E7"/>
    <w:rsid w:val="005B0C6C"/>
    <w:rsid w:val="005B5622"/>
    <w:rsid w:val="005B76FD"/>
    <w:rsid w:val="00602842"/>
    <w:rsid w:val="00612B4B"/>
    <w:rsid w:val="006249A8"/>
    <w:rsid w:val="00635FCE"/>
    <w:rsid w:val="00666F6C"/>
    <w:rsid w:val="00690EA8"/>
    <w:rsid w:val="006B59B1"/>
    <w:rsid w:val="006C07B8"/>
    <w:rsid w:val="006D406A"/>
    <w:rsid w:val="0070252C"/>
    <w:rsid w:val="0071635C"/>
    <w:rsid w:val="00733C6A"/>
    <w:rsid w:val="00741B7F"/>
    <w:rsid w:val="0079008F"/>
    <w:rsid w:val="007A694A"/>
    <w:rsid w:val="007C29BA"/>
    <w:rsid w:val="007C6139"/>
    <w:rsid w:val="007D0B1C"/>
    <w:rsid w:val="007F26F3"/>
    <w:rsid w:val="007F40D2"/>
    <w:rsid w:val="007F6D37"/>
    <w:rsid w:val="007F6E17"/>
    <w:rsid w:val="0081334F"/>
    <w:rsid w:val="00825E80"/>
    <w:rsid w:val="008578EF"/>
    <w:rsid w:val="0086141D"/>
    <w:rsid w:val="008645BB"/>
    <w:rsid w:val="008672B2"/>
    <w:rsid w:val="00883772"/>
    <w:rsid w:val="0089321A"/>
    <w:rsid w:val="008A2DBD"/>
    <w:rsid w:val="00921076"/>
    <w:rsid w:val="00951997"/>
    <w:rsid w:val="00956988"/>
    <w:rsid w:val="0099755A"/>
    <w:rsid w:val="009A21CB"/>
    <w:rsid w:val="009B6927"/>
    <w:rsid w:val="00A07871"/>
    <w:rsid w:val="00A56A7D"/>
    <w:rsid w:val="00A639D1"/>
    <w:rsid w:val="00A92F3F"/>
    <w:rsid w:val="00A97561"/>
    <w:rsid w:val="00AA2610"/>
    <w:rsid w:val="00AA335E"/>
    <w:rsid w:val="00AB6BFE"/>
    <w:rsid w:val="00AD347E"/>
    <w:rsid w:val="00AE5C36"/>
    <w:rsid w:val="00AF027B"/>
    <w:rsid w:val="00B2064D"/>
    <w:rsid w:val="00B33EE5"/>
    <w:rsid w:val="00B3411C"/>
    <w:rsid w:val="00B36797"/>
    <w:rsid w:val="00BB69E8"/>
    <w:rsid w:val="00C00A11"/>
    <w:rsid w:val="00C0350C"/>
    <w:rsid w:val="00C06DA2"/>
    <w:rsid w:val="00C07C2C"/>
    <w:rsid w:val="00C45C25"/>
    <w:rsid w:val="00C5364E"/>
    <w:rsid w:val="00C542EA"/>
    <w:rsid w:val="00C908A1"/>
    <w:rsid w:val="00C94110"/>
    <w:rsid w:val="00CB0F62"/>
    <w:rsid w:val="00CD2521"/>
    <w:rsid w:val="00CF41C3"/>
    <w:rsid w:val="00D04BEB"/>
    <w:rsid w:val="00D06126"/>
    <w:rsid w:val="00D32CDB"/>
    <w:rsid w:val="00D42051"/>
    <w:rsid w:val="00D50AFB"/>
    <w:rsid w:val="00D70FF1"/>
    <w:rsid w:val="00D81D4B"/>
    <w:rsid w:val="00D81FC0"/>
    <w:rsid w:val="00DA3B47"/>
    <w:rsid w:val="00DF7218"/>
    <w:rsid w:val="00E04BB4"/>
    <w:rsid w:val="00E66973"/>
    <w:rsid w:val="00E72115"/>
    <w:rsid w:val="00E853E7"/>
    <w:rsid w:val="00E9761E"/>
    <w:rsid w:val="00EB379E"/>
    <w:rsid w:val="00EC77BE"/>
    <w:rsid w:val="00EE5BDC"/>
    <w:rsid w:val="00F00D4A"/>
    <w:rsid w:val="00F14F41"/>
    <w:rsid w:val="00F158F3"/>
    <w:rsid w:val="00F63362"/>
    <w:rsid w:val="00F64CF0"/>
    <w:rsid w:val="00F733FD"/>
    <w:rsid w:val="00F80785"/>
    <w:rsid w:val="00F94A9E"/>
    <w:rsid w:val="00FB45C7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3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FD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F158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</dc:creator>
  <cp:lastModifiedBy>User</cp:lastModifiedBy>
  <cp:revision>3</cp:revision>
  <cp:lastPrinted>2019-11-06T04:51:00Z</cp:lastPrinted>
  <dcterms:created xsi:type="dcterms:W3CDTF">2021-02-25T06:16:00Z</dcterms:created>
  <dcterms:modified xsi:type="dcterms:W3CDTF">2021-02-25T06:49:00Z</dcterms:modified>
</cp:coreProperties>
</file>