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50"/>
        <w:tblW w:w="9792" w:type="dxa"/>
        <w:tblLook w:val="04A0" w:firstRow="1" w:lastRow="0" w:firstColumn="1" w:lastColumn="0" w:noHBand="0" w:noVBand="1"/>
      </w:tblPr>
      <w:tblGrid>
        <w:gridCol w:w="3466"/>
        <w:gridCol w:w="6326"/>
      </w:tblGrid>
      <w:tr w:rsidR="000C6008" w:rsidRPr="00E166B1" w14:paraId="5927FEC1" w14:textId="77777777" w:rsidTr="009358AF">
        <w:trPr>
          <w:trHeight w:val="639"/>
        </w:trPr>
        <w:tc>
          <w:tcPr>
            <w:tcW w:w="3466" w:type="dxa"/>
          </w:tcPr>
          <w:p w14:paraId="1D1B1BC9" w14:textId="77777777" w:rsidR="006C07B8" w:rsidRPr="00E166B1" w:rsidRDefault="006C07B8" w:rsidP="009358AF">
            <w:pPr>
              <w:rPr>
                <w:rFonts w:ascii="Garamond" w:hAnsi="Garamond" w:cs="Times New Roman"/>
                <w:sz w:val="24"/>
                <w:szCs w:val="24"/>
              </w:rPr>
            </w:pPr>
            <w:r w:rsidRPr="00E166B1">
              <w:rPr>
                <w:rFonts w:ascii="Garamond" w:hAnsi="Garamond" w:cs="Times New Roman"/>
                <w:sz w:val="24"/>
                <w:szCs w:val="24"/>
              </w:rPr>
              <w:t>Address</w:t>
            </w:r>
          </w:p>
        </w:tc>
        <w:tc>
          <w:tcPr>
            <w:tcW w:w="6326" w:type="dxa"/>
          </w:tcPr>
          <w:p w14:paraId="144FFAC5" w14:textId="77777777" w:rsidR="00CD7BB6" w:rsidRPr="00E166B1" w:rsidRDefault="00CD7BB6" w:rsidP="009358AF">
            <w:pPr>
              <w:rPr>
                <w:rFonts w:ascii="Garamond" w:hAnsi="Garamond"/>
                <w:sz w:val="24"/>
                <w:szCs w:val="24"/>
              </w:rPr>
            </w:pPr>
            <w:r w:rsidRPr="00E166B1">
              <w:rPr>
                <w:rFonts w:ascii="Garamond" w:hAnsi="Garamond"/>
                <w:sz w:val="24"/>
                <w:szCs w:val="24"/>
              </w:rPr>
              <w:t xml:space="preserve">Rupali </w:t>
            </w:r>
            <w:proofErr w:type="spellStart"/>
            <w:r w:rsidRPr="00E166B1">
              <w:rPr>
                <w:rFonts w:ascii="Garamond" w:hAnsi="Garamond"/>
                <w:sz w:val="24"/>
                <w:szCs w:val="24"/>
              </w:rPr>
              <w:t>Bima</w:t>
            </w:r>
            <w:proofErr w:type="spellEnd"/>
            <w:r w:rsidRPr="00E166B1">
              <w:rPr>
                <w:rFonts w:ascii="Garamond" w:hAnsi="Garamond"/>
                <w:sz w:val="24"/>
                <w:szCs w:val="24"/>
              </w:rPr>
              <w:t xml:space="preserve"> Bhaban, 7 </w:t>
            </w:r>
            <w:proofErr w:type="spellStart"/>
            <w:r w:rsidRPr="00E166B1">
              <w:rPr>
                <w:rFonts w:ascii="Garamond" w:hAnsi="Garamond"/>
                <w:sz w:val="24"/>
                <w:szCs w:val="24"/>
              </w:rPr>
              <w:t>Rajuk</w:t>
            </w:r>
            <w:proofErr w:type="spellEnd"/>
            <w:r w:rsidRPr="00E166B1">
              <w:rPr>
                <w:rFonts w:ascii="Garamond" w:hAnsi="Garamond"/>
                <w:sz w:val="24"/>
                <w:szCs w:val="24"/>
              </w:rPr>
              <w:t xml:space="preserve"> Avenue, Dhaka-1000</w:t>
            </w:r>
          </w:p>
          <w:p w14:paraId="7502E04D" w14:textId="77777777" w:rsidR="00CD7BB6" w:rsidRPr="00E166B1" w:rsidRDefault="00CD7BB6" w:rsidP="009358AF">
            <w:pPr>
              <w:rPr>
                <w:rFonts w:ascii="Garamond" w:hAnsi="Garamond"/>
                <w:sz w:val="24"/>
                <w:szCs w:val="24"/>
              </w:rPr>
            </w:pPr>
            <w:r w:rsidRPr="00E166B1">
              <w:rPr>
                <w:rFonts w:ascii="Garamond" w:hAnsi="Garamond"/>
                <w:sz w:val="24"/>
                <w:szCs w:val="24"/>
              </w:rPr>
              <w:t xml:space="preserve">Head Office (Ext.) 68/B, DIT Road, </w:t>
            </w:r>
            <w:proofErr w:type="spellStart"/>
            <w:r w:rsidRPr="00E166B1">
              <w:rPr>
                <w:rFonts w:ascii="Garamond" w:hAnsi="Garamond"/>
                <w:sz w:val="24"/>
                <w:szCs w:val="24"/>
              </w:rPr>
              <w:t>Malibagh</w:t>
            </w:r>
            <w:proofErr w:type="spellEnd"/>
            <w:r w:rsidRPr="00E166B1">
              <w:rPr>
                <w:rFonts w:ascii="Garamond" w:hAnsi="Garamond"/>
                <w:sz w:val="24"/>
                <w:szCs w:val="24"/>
              </w:rPr>
              <w:t xml:space="preserve">, Dhaka. </w:t>
            </w:r>
          </w:p>
          <w:p w14:paraId="713C6A58" w14:textId="63011FA4" w:rsidR="0046123A" w:rsidRPr="00E166B1" w:rsidRDefault="00CD7BB6" w:rsidP="009358AF">
            <w:pPr>
              <w:rPr>
                <w:rFonts w:ascii="Garamond" w:hAnsi="Garamond"/>
                <w:sz w:val="24"/>
                <w:szCs w:val="24"/>
              </w:rPr>
            </w:pPr>
            <w:r w:rsidRPr="00E166B1">
              <w:rPr>
                <w:rFonts w:ascii="Garamond" w:hAnsi="Garamond"/>
                <w:sz w:val="24"/>
                <w:szCs w:val="24"/>
              </w:rPr>
              <w:t>IP Phone</w:t>
            </w:r>
            <w:r w:rsidR="0046123A" w:rsidRPr="00E166B1">
              <w:rPr>
                <w:rFonts w:ascii="Garamond" w:hAnsi="Garamond"/>
                <w:sz w:val="24"/>
                <w:szCs w:val="24"/>
              </w:rPr>
              <w:t xml:space="preserve">: </w:t>
            </w:r>
            <w:r w:rsidRPr="00E166B1">
              <w:rPr>
                <w:rFonts w:ascii="Garamond" w:hAnsi="Garamond"/>
                <w:sz w:val="24"/>
                <w:szCs w:val="24"/>
              </w:rPr>
              <w:t>09678200004; Fax: 8802-9565629</w:t>
            </w:r>
            <w:r w:rsidR="000478B9" w:rsidRPr="00E166B1">
              <w:rPr>
                <w:rFonts w:ascii="Garamond" w:hAnsi="Garamond"/>
                <w:sz w:val="24"/>
                <w:szCs w:val="24"/>
              </w:rPr>
              <w:t xml:space="preserve"> </w:t>
            </w:r>
            <w:r w:rsidR="0046123A" w:rsidRPr="00E166B1">
              <w:rPr>
                <w:rFonts w:ascii="Garamond" w:hAnsi="Garamond"/>
                <w:sz w:val="24"/>
                <w:szCs w:val="24"/>
              </w:rPr>
              <w:t xml:space="preserve"> </w:t>
            </w:r>
          </w:p>
          <w:p w14:paraId="3405AF6F" w14:textId="3908AC51" w:rsidR="006C07B8" w:rsidRPr="00E166B1" w:rsidRDefault="0046123A" w:rsidP="009358AF">
            <w:pPr>
              <w:rPr>
                <w:rFonts w:ascii="Garamond" w:hAnsi="Garamond" w:cs="Times New Roman"/>
                <w:sz w:val="24"/>
                <w:szCs w:val="24"/>
              </w:rPr>
            </w:pPr>
            <w:r w:rsidRPr="00E166B1">
              <w:rPr>
                <w:rFonts w:ascii="Garamond" w:hAnsi="Garamond"/>
                <w:sz w:val="24"/>
                <w:szCs w:val="24"/>
              </w:rPr>
              <w:t xml:space="preserve">Email: </w:t>
            </w:r>
            <w:r w:rsidR="000478B9" w:rsidRPr="00E166B1">
              <w:rPr>
                <w:rFonts w:ascii="Garamond" w:hAnsi="Garamond"/>
                <w:sz w:val="24"/>
                <w:szCs w:val="24"/>
              </w:rPr>
              <w:t>info@</w:t>
            </w:r>
            <w:r w:rsidR="00CD7BB6" w:rsidRPr="00E166B1">
              <w:rPr>
                <w:rFonts w:ascii="Garamond" w:hAnsi="Garamond"/>
                <w:sz w:val="24"/>
                <w:szCs w:val="24"/>
              </w:rPr>
              <w:t>sonalilife.com</w:t>
            </w:r>
            <w:r w:rsidR="000478B9" w:rsidRPr="00E166B1">
              <w:rPr>
                <w:rFonts w:ascii="Garamond" w:hAnsi="Garamond"/>
                <w:sz w:val="24"/>
                <w:szCs w:val="24"/>
              </w:rPr>
              <w:t>;</w:t>
            </w:r>
            <w:r w:rsidRPr="00E166B1">
              <w:rPr>
                <w:rFonts w:ascii="Garamond" w:hAnsi="Garamond"/>
                <w:sz w:val="24"/>
                <w:szCs w:val="24"/>
              </w:rPr>
              <w:t xml:space="preserve"> Web: www.</w:t>
            </w:r>
            <w:r w:rsidR="00CD7BB6" w:rsidRPr="00E166B1">
              <w:rPr>
                <w:rFonts w:ascii="Garamond" w:hAnsi="Garamond"/>
                <w:sz w:val="24"/>
                <w:szCs w:val="24"/>
              </w:rPr>
              <w:t>sonlilife.com</w:t>
            </w:r>
          </w:p>
        </w:tc>
      </w:tr>
      <w:tr w:rsidR="00A56A7D" w:rsidRPr="00E166B1" w14:paraId="6C9BA4A4" w14:textId="77777777" w:rsidTr="009358AF">
        <w:trPr>
          <w:trHeight w:val="368"/>
        </w:trPr>
        <w:tc>
          <w:tcPr>
            <w:tcW w:w="3466" w:type="dxa"/>
          </w:tcPr>
          <w:p w14:paraId="3B3F385E" w14:textId="6E98B91F" w:rsidR="00A56A7D" w:rsidRPr="00E166B1" w:rsidRDefault="00CD7BB6" w:rsidP="009358AF">
            <w:pPr>
              <w:rPr>
                <w:rFonts w:ascii="Garamond" w:hAnsi="Garamond" w:cs="Times New Roman"/>
                <w:sz w:val="24"/>
                <w:szCs w:val="24"/>
              </w:rPr>
            </w:pPr>
            <w:r w:rsidRPr="00E166B1">
              <w:rPr>
                <w:rFonts w:ascii="Garamond" w:hAnsi="Garamond" w:cs="Times New Roman"/>
                <w:sz w:val="24"/>
                <w:szCs w:val="24"/>
              </w:rPr>
              <w:t>Chief Executive Officer (CC)</w:t>
            </w:r>
          </w:p>
        </w:tc>
        <w:tc>
          <w:tcPr>
            <w:tcW w:w="6326" w:type="dxa"/>
          </w:tcPr>
          <w:p w14:paraId="0362491E" w14:textId="4FE3B257" w:rsidR="00A56A7D" w:rsidRPr="00E166B1" w:rsidRDefault="003E617C" w:rsidP="009358AF">
            <w:pPr>
              <w:rPr>
                <w:rFonts w:ascii="Garamond" w:hAnsi="Garamond" w:cs="Times New Roman"/>
                <w:sz w:val="24"/>
                <w:szCs w:val="24"/>
              </w:rPr>
            </w:pPr>
            <w:r w:rsidRPr="00E166B1">
              <w:rPr>
                <w:rFonts w:ascii="Garamond" w:hAnsi="Garamond" w:cs="Times New Roman"/>
                <w:sz w:val="24"/>
                <w:szCs w:val="24"/>
              </w:rPr>
              <w:t xml:space="preserve">Mr. </w:t>
            </w:r>
            <w:r w:rsidR="00CD7BB6" w:rsidRPr="00E166B1">
              <w:rPr>
                <w:rFonts w:ascii="Garamond" w:hAnsi="Garamond" w:cs="Times New Roman"/>
                <w:sz w:val="24"/>
                <w:szCs w:val="24"/>
              </w:rPr>
              <w:t>Mir Rashed Bin Aman</w:t>
            </w:r>
          </w:p>
        </w:tc>
      </w:tr>
      <w:tr w:rsidR="000C6008" w:rsidRPr="00E166B1" w14:paraId="0523BB2B" w14:textId="77777777" w:rsidTr="009358AF">
        <w:trPr>
          <w:trHeight w:val="639"/>
        </w:trPr>
        <w:tc>
          <w:tcPr>
            <w:tcW w:w="3466" w:type="dxa"/>
          </w:tcPr>
          <w:p w14:paraId="6E650C40" w14:textId="77777777" w:rsidR="00D06126" w:rsidRPr="00E166B1" w:rsidRDefault="00D06126" w:rsidP="009358AF">
            <w:pPr>
              <w:rPr>
                <w:rFonts w:ascii="Garamond" w:hAnsi="Garamond" w:cs="Times New Roman"/>
                <w:sz w:val="24"/>
                <w:szCs w:val="24"/>
              </w:rPr>
            </w:pPr>
            <w:r w:rsidRPr="00E166B1">
              <w:rPr>
                <w:rFonts w:ascii="Garamond" w:hAnsi="Garamond" w:cs="Times New Roman"/>
                <w:sz w:val="24"/>
                <w:szCs w:val="24"/>
              </w:rPr>
              <w:t>Nature of Business</w:t>
            </w:r>
          </w:p>
        </w:tc>
        <w:tc>
          <w:tcPr>
            <w:tcW w:w="6326" w:type="dxa"/>
          </w:tcPr>
          <w:p w14:paraId="3593E0CC" w14:textId="6E0BF200" w:rsidR="00D06126" w:rsidRPr="00E166B1" w:rsidRDefault="000478B9" w:rsidP="009358AF">
            <w:pPr>
              <w:jc w:val="both"/>
              <w:rPr>
                <w:rFonts w:ascii="Garamond" w:hAnsi="Garamond" w:cs="Times New Roman"/>
                <w:sz w:val="24"/>
                <w:szCs w:val="24"/>
              </w:rPr>
            </w:pPr>
            <w:r w:rsidRPr="00E166B1">
              <w:rPr>
                <w:rFonts w:ascii="Garamond" w:hAnsi="Garamond"/>
                <w:sz w:val="24"/>
                <w:szCs w:val="24"/>
              </w:rPr>
              <w:t xml:space="preserve">The </w:t>
            </w:r>
            <w:r w:rsidR="00CD7BB6" w:rsidRPr="00E166B1">
              <w:rPr>
                <w:rFonts w:ascii="Garamond" w:hAnsi="Garamond"/>
                <w:sz w:val="24"/>
                <w:szCs w:val="24"/>
              </w:rPr>
              <w:t xml:space="preserve">company is engaged in the ordinary life insurance, pension and group insurance business including </w:t>
            </w:r>
            <w:proofErr w:type="spellStart"/>
            <w:r w:rsidR="00CD7BB6" w:rsidRPr="00E166B1">
              <w:rPr>
                <w:rFonts w:ascii="Garamond" w:hAnsi="Garamond"/>
                <w:sz w:val="24"/>
                <w:szCs w:val="24"/>
              </w:rPr>
              <w:t>Islami</w:t>
            </w:r>
            <w:proofErr w:type="spellEnd"/>
            <w:r w:rsidR="00CD7BB6" w:rsidRPr="00E166B1">
              <w:rPr>
                <w:rFonts w:ascii="Garamond" w:hAnsi="Garamond"/>
                <w:sz w:val="24"/>
                <w:szCs w:val="24"/>
              </w:rPr>
              <w:t xml:space="preserve"> </w:t>
            </w:r>
            <w:proofErr w:type="spellStart"/>
            <w:r w:rsidR="00CD7BB6" w:rsidRPr="00E166B1">
              <w:rPr>
                <w:rFonts w:ascii="Garamond" w:hAnsi="Garamond"/>
                <w:sz w:val="24"/>
                <w:szCs w:val="24"/>
              </w:rPr>
              <w:t>Jibon</w:t>
            </w:r>
            <w:proofErr w:type="spellEnd"/>
            <w:r w:rsidR="00CD7BB6" w:rsidRPr="00E166B1">
              <w:rPr>
                <w:rFonts w:ascii="Garamond" w:hAnsi="Garamond"/>
                <w:sz w:val="24"/>
                <w:szCs w:val="24"/>
              </w:rPr>
              <w:t xml:space="preserve"> </w:t>
            </w:r>
            <w:proofErr w:type="spellStart"/>
            <w:r w:rsidR="00CD7BB6" w:rsidRPr="00E166B1">
              <w:rPr>
                <w:rFonts w:ascii="Garamond" w:hAnsi="Garamond"/>
                <w:sz w:val="24"/>
                <w:szCs w:val="24"/>
              </w:rPr>
              <w:t>Bima</w:t>
            </w:r>
            <w:proofErr w:type="spellEnd"/>
            <w:r w:rsidR="00CD7BB6" w:rsidRPr="00E166B1">
              <w:rPr>
                <w:rFonts w:ascii="Garamond" w:hAnsi="Garamond"/>
                <w:sz w:val="24"/>
                <w:szCs w:val="24"/>
              </w:rPr>
              <w:t xml:space="preserve"> (Takaful). </w:t>
            </w:r>
          </w:p>
        </w:tc>
      </w:tr>
      <w:tr w:rsidR="00F82C3A" w:rsidRPr="00E166B1" w14:paraId="5DE5DFB0" w14:textId="77777777" w:rsidTr="009358AF">
        <w:trPr>
          <w:trHeight w:val="326"/>
        </w:trPr>
        <w:tc>
          <w:tcPr>
            <w:tcW w:w="3466" w:type="dxa"/>
          </w:tcPr>
          <w:p w14:paraId="0044492B"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Market for the products/services</w:t>
            </w:r>
          </w:p>
        </w:tc>
        <w:tc>
          <w:tcPr>
            <w:tcW w:w="6326" w:type="dxa"/>
          </w:tcPr>
          <w:p w14:paraId="56B7A29A"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 xml:space="preserve">Domestic  </w:t>
            </w:r>
          </w:p>
        </w:tc>
      </w:tr>
      <w:tr w:rsidR="00F82C3A" w:rsidRPr="00E166B1" w14:paraId="17518638" w14:textId="77777777" w:rsidTr="009358AF">
        <w:trPr>
          <w:trHeight w:val="326"/>
        </w:trPr>
        <w:tc>
          <w:tcPr>
            <w:tcW w:w="3466" w:type="dxa"/>
          </w:tcPr>
          <w:p w14:paraId="56C340D2"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BSEC’s Consent for IPO</w:t>
            </w:r>
          </w:p>
        </w:tc>
        <w:tc>
          <w:tcPr>
            <w:tcW w:w="6326" w:type="dxa"/>
          </w:tcPr>
          <w:p w14:paraId="1B9AA8FC" w14:textId="7C457849" w:rsidR="00F82C3A" w:rsidRPr="00E166B1" w:rsidRDefault="00F82C3A" w:rsidP="009358AF">
            <w:pPr>
              <w:rPr>
                <w:rFonts w:ascii="Garamond" w:hAnsi="Garamond" w:cs="Times New Roman"/>
                <w:sz w:val="24"/>
                <w:szCs w:val="24"/>
              </w:rPr>
            </w:pPr>
            <w:r w:rsidRPr="00E166B1">
              <w:rPr>
                <w:rFonts w:ascii="Garamond" w:hAnsi="Garamond"/>
                <w:sz w:val="24"/>
                <w:szCs w:val="24"/>
              </w:rPr>
              <w:t>April 22, 2021</w:t>
            </w:r>
          </w:p>
        </w:tc>
      </w:tr>
      <w:tr w:rsidR="001E0D9B" w:rsidRPr="00E166B1" w14:paraId="2C917A2F" w14:textId="77777777" w:rsidTr="009358AF">
        <w:trPr>
          <w:trHeight w:val="326"/>
        </w:trPr>
        <w:tc>
          <w:tcPr>
            <w:tcW w:w="3466" w:type="dxa"/>
          </w:tcPr>
          <w:p w14:paraId="2D96CE70" w14:textId="77777777" w:rsidR="001E0D9B" w:rsidRPr="00E166B1" w:rsidRDefault="001E0D9B" w:rsidP="009358AF">
            <w:pPr>
              <w:rPr>
                <w:rFonts w:ascii="Garamond" w:hAnsi="Garamond" w:cs="Times New Roman"/>
                <w:sz w:val="24"/>
                <w:szCs w:val="24"/>
              </w:rPr>
            </w:pPr>
            <w:r w:rsidRPr="00E166B1">
              <w:rPr>
                <w:rFonts w:ascii="Garamond" w:hAnsi="Garamond" w:cs="Times New Roman"/>
                <w:sz w:val="24"/>
                <w:szCs w:val="24"/>
              </w:rPr>
              <w:t>Issue Date of Prospectus</w:t>
            </w:r>
          </w:p>
        </w:tc>
        <w:tc>
          <w:tcPr>
            <w:tcW w:w="6326" w:type="dxa"/>
          </w:tcPr>
          <w:p w14:paraId="0D7A6C18" w14:textId="3E22B0C3" w:rsidR="001E0D9B" w:rsidRPr="00E166B1" w:rsidRDefault="001E0D9B" w:rsidP="009358AF">
            <w:pPr>
              <w:rPr>
                <w:rFonts w:ascii="Garamond" w:hAnsi="Garamond" w:cs="Times New Roman"/>
                <w:sz w:val="24"/>
                <w:szCs w:val="24"/>
              </w:rPr>
            </w:pPr>
            <w:r w:rsidRPr="00E166B1">
              <w:rPr>
                <w:rFonts w:ascii="Garamond" w:hAnsi="Garamond"/>
                <w:sz w:val="24"/>
                <w:szCs w:val="24"/>
              </w:rPr>
              <w:t>April 27, 2021</w:t>
            </w:r>
          </w:p>
        </w:tc>
      </w:tr>
      <w:tr w:rsidR="0025109F" w:rsidRPr="00E166B1" w14:paraId="17E35EAA" w14:textId="77777777" w:rsidTr="009358AF">
        <w:trPr>
          <w:trHeight w:val="326"/>
        </w:trPr>
        <w:tc>
          <w:tcPr>
            <w:tcW w:w="3466" w:type="dxa"/>
          </w:tcPr>
          <w:p w14:paraId="64093005" w14:textId="77777777" w:rsidR="0025109F" w:rsidRPr="00E166B1" w:rsidRDefault="0025109F" w:rsidP="009358AF">
            <w:pPr>
              <w:rPr>
                <w:rFonts w:ascii="Garamond" w:hAnsi="Garamond" w:cs="Times New Roman"/>
                <w:sz w:val="24"/>
                <w:szCs w:val="24"/>
              </w:rPr>
            </w:pPr>
            <w:r w:rsidRPr="00E166B1">
              <w:rPr>
                <w:rFonts w:ascii="Garamond" w:hAnsi="Garamond" w:cs="Times New Roman"/>
                <w:sz w:val="24"/>
                <w:szCs w:val="24"/>
              </w:rPr>
              <w:t>Subscription Open</w:t>
            </w:r>
          </w:p>
        </w:tc>
        <w:tc>
          <w:tcPr>
            <w:tcW w:w="6326" w:type="dxa"/>
          </w:tcPr>
          <w:p w14:paraId="4F840C94" w14:textId="5926B2EB" w:rsidR="0025109F" w:rsidRPr="00E166B1" w:rsidRDefault="0025109F" w:rsidP="009358AF">
            <w:pPr>
              <w:rPr>
                <w:rFonts w:ascii="Garamond" w:hAnsi="Garamond" w:cs="Times New Roman"/>
                <w:sz w:val="24"/>
                <w:szCs w:val="24"/>
              </w:rPr>
            </w:pPr>
            <w:r w:rsidRPr="00E166B1">
              <w:rPr>
                <w:rFonts w:ascii="Garamond" w:hAnsi="Garamond"/>
                <w:sz w:val="24"/>
                <w:szCs w:val="24"/>
              </w:rPr>
              <w:t>May 30, 2021</w:t>
            </w:r>
          </w:p>
        </w:tc>
      </w:tr>
      <w:tr w:rsidR="00F82C3A" w:rsidRPr="00E166B1" w14:paraId="7683983E" w14:textId="77777777" w:rsidTr="009358AF">
        <w:trPr>
          <w:trHeight w:val="326"/>
        </w:trPr>
        <w:tc>
          <w:tcPr>
            <w:tcW w:w="3466" w:type="dxa"/>
          </w:tcPr>
          <w:p w14:paraId="08B34B85"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Subscription Close</w:t>
            </w:r>
          </w:p>
        </w:tc>
        <w:tc>
          <w:tcPr>
            <w:tcW w:w="6326" w:type="dxa"/>
          </w:tcPr>
          <w:p w14:paraId="6164E3CA" w14:textId="35FA396E" w:rsidR="00F82C3A" w:rsidRPr="00E166B1" w:rsidRDefault="0025109F" w:rsidP="009358AF">
            <w:pPr>
              <w:rPr>
                <w:rFonts w:ascii="Garamond" w:hAnsi="Garamond" w:cs="Times New Roman"/>
                <w:sz w:val="24"/>
                <w:szCs w:val="24"/>
              </w:rPr>
            </w:pPr>
            <w:r w:rsidRPr="00E166B1">
              <w:rPr>
                <w:rFonts w:ascii="Garamond" w:hAnsi="Garamond"/>
                <w:sz w:val="24"/>
                <w:szCs w:val="24"/>
              </w:rPr>
              <w:t>June 03, 2021</w:t>
            </w:r>
          </w:p>
        </w:tc>
      </w:tr>
      <w:tr w:rsidR="00F82C3A" w:rsidRPr="00E166B1" w14:paraId="4A26080F" w14:textId="77777777" w:rsidTr="009358AF">
        <w:trPr>
          <w:trHeight w:val="326"/>
        </w:trPr>
        <w:tc>
          <w:tcPr>
            <w:tcW w:w="3466" w:type="dxa"/>
          </w:tcPr>
          <w:p w14:paraId="317476E3"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Security Trading Code</w:t>
            </w:r>
          </w:p>
        </w:tc>
        <w:tc>
          <w:tcPr>
            <w:tcW w:w="6326" w:type="dxa"/>
          </w:tcPr>
          <w:p w14:paraId="5C01BFC0" w14:textId="18238176" w:rsidR="00F82C3A" w:rsidRPr="00E166B1" w:rsidRDefault="0025109F" w:rsidP="009358AF">
            <w:pPr>
              <w:rPr>
                <w:rFonts w:ascii="Garamond" w:hAnsi="Garamond" w:cs="Times New Roman"/>
                <w:sz w:val="24"/>
                <w:szCs w:val="24"/>
              </w:rPr>
            </w:pPr>
            <w:r w:rsidRPr="00E166B1">
              <w:rPr>
                <w:rFonts w:ascii="Garamond" w:hAnsi="Garamond"/>
                <w:sz w:val="24"/>
                <w:szCs w:val="24"/>
              </w:rPr>
              <w:t>SONALILIFE</w:t>
            </w:r>
          </w:p>
        </w:tc>
      </w:tr>
      <w:tr w:rsidR="00F82C3A" w:rsidRPr="00E166B1" w14:paraId="22291F5A" w14:textId="77777777" w:rsidTr="009358AF">
        <w:trPr>
          <w:trHeight w:val="326"/>
        </w:trPr>
        <w:tc>
          <w:tcPr>
            <w:tcW w:w="3466" w:type="dxa"/>
          </w:tcPr>
          <w:p w14:paraId="30100316"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Public Offer of Ordinary Shares</w:t>
            </w:r>
          </w:p>
        </w:tc>
        <w:tc>
          <w:tcPr>
            <w:tcW w:w="6326" w:type="dxa"/>
          </w:tcPr>
          <w:p w14:paraId="71534273" w14:textId="628D12E5" w:rsidR="00F82C3A" w:rsidRPr="00E166B1" w:rsidRDefault="0025109F" w:rsidP="009358AF">
            <w:pPr>
              <w:rPr>
                <w:rFonts w:ascii="Garamond" w:hAnsi="Garamond" w:cs="Times New Roman"/>
                <w:sz w:val="24"/>
                <w:szCs w:val="24"/>
              </w:rPr>
            </w:pPr>
            <w:r w:rsidRPr="00E166B1">
              <w:rPr>
                <w:rFonts w:ascii="Garamond" w:hAnsi="Garamond"/>
                <w:sz w:val="24"/>
                <w:szCs w:val="24"/>
              </w:rPr>
              <w:t>19 million shares</w:t>
            </w:r>
          </w:p>
        </w:tc>
      </w:tr>
      <w:tr w:rsidR="00F82C3A" w:rsidRPr="00E166B1" w14:paraId="7F482E27" w14:textId="77777777" w:rsidTr="009358AF">
        <w:trPr>
          <w:trHeight w:val="326"/>
        </w:trPr>
        <w:tc>
          <w:tcPr>
            <w:tcW w:w="3466" w:type="dxa"/>
          </w:tcPr>
          <w:p w14:paraId="1EA496FD"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Issue Price per share</w:t>
            </w:r>
          </w:p>
        </w:tc>
        <w:tc>
          <w:tcPr>
            <w:tcW w:w="6326" w:type="dxa"/>
          </w:tcPr>
          <w:p w14:paraId="2B4132D7" w14:textId="559C6A53"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 xml:space="preserve">Tk. </w:t>
            </w:r>
            <w:r w:rsidR="0025109F" w:rsidRPr="00E166B1">
              <w:rPr>
                <w:rFonts w:ascii="Garamond" w:hAnsi="Garamond" w:cs="Times New Roman"/>
                <w:sz w:val="24"/>
                <w:szCs w:val="24"/>
              </w:rPr>
              <w:t>10</w:t>
            </w:r>
            <w:r w:rsidRPr="00E166B1">
              <w:rPr>
                <w:rFonts w:ascii="Garamond" w:hAnsi="Garamond" w:cs="Times New Roman"/>
                <w:sz w:val="24"/>
                <w:szCs w:val="24"/>
              </w:rPr>
              <w:t xml:space="preserve"> Each </w:t>
            </w:r>
            <w:r w:rsidR="0025109F" w:rsidRPr="00E166B1">
              <w:rPr>
                <w:rFonts w:ascii="Garamond" w:hAnsi="Garamond" w:cs="Times New Roman"/>
                <w:sz w:val="24"/>
                <w:szCs w:val="24"/>
              </w:rPr>
              <w:t xml:space="preserve">at par </w:t>
            </w:r>
          </w:p>
        </w:tc>
      </w:tr>
      <w:tr w:rsidR="00F82C3A" w:rsidRPr="00E166B1" w14:paraId="230D91C3" w14:textId="77777777" w:rsidTr="009358AF">
        <w:trPr>
          <w:trHeight w:val="326"/>
        </w:trPr>
        <w:tc>
          <w:tcPr>
            <w:tcW w:w="3466" w:type="dxa"/>
          </w:tcPr>
          <w:p w14:paraId="0F1F9C63"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Authorized Capital</w:t>
            </w:r>
          </w:p>
        </w:tc>
        <w:tc>
          <w:tcPr>
            <w:tcW w:w="6326" w:type="dxa"/>
          </w:tcPr>
          <w:p w14:paraId="4ABF2C26"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Tk. 1,000.00mn</w:t>
            </w:r>
          </w:p>
        </w:tc>
      </w:tr>
      <w:tr w:rsidR="00F82C3A" w:rsidRPr="00E166B1" w14:paraId="5DA71532" w14:textId="77777777" w:rsidTr="009358AF">
        <w:trPr>
          <w:trHeight w:val="326"/>
        </w:trPr>
        <w:tc>
          <w:tcPr>
            <w:tcW w:w="3466" w:type="dxa"/>
          </w:tcPr>
          <w:p w14:paraId="5A9DA527"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Pre-IPO Paid-up Capital</w:t>
            </w:r>
          </w:p>
        </w:tc>
        <w:tc>
          <w:tcPr>
            <w:tcW w:w="6326" w:type="dxa"/>
          </w:tcPr>
          <w:p w14:paraId="6CD5B5A9" w14:textId="0BBEE98A"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 xml:space="preserve">Tk.   </w:t>
            </w:r>
            <w:r w:rsidR="0025109F" w:rsidRPr="00E166B1">
              <w:rPr>
                <w:rFonts w:ascii="Garamond" w:hAnsi="Garamond" w:cs="Times New Roman"/>
                <w:sz w:val="24"/>
                <w:szCs w:val="24"/>
              </w:rPr>
              <w:t>285</w:t>
            </w:r>
            <w:r w:rsidRPr="00E166B1">
              <w:rPr>
                <w:rFonts w:ascii="Garamond" w:hAnsi="Garamond" w:cs="Times New Roman"/>
                <w:sz w:val="24"/>
                <w:szCs w:val="24"/>
              </w:rPr>
              <w:t xml:space="preserve">.00mn </w:t>
            </w:r>
          </w:p>
        </w:tc>
      </w:tr>
      <w:tr w:rsidR="00F82C3A" w:rsidRPr="00E166B1" w14:paraId="614C1640" w14:textId="77777777" w:rsidTr="009358AF">
        <w:trPr>
          <w:trHeight w:val="326"/>
        </w:trPr>
        <w:tc>
          <w:tcPr>
            <w:tcW w:w="3466" w:type="dxa"/>
          </w:tcPr>
          <w:p w14:paraId="6DE5024B"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 xml:space="preserve">IPO Size </w:t>
            </w:r>
          </w:p>
        </w:tc>
        <w:tc>
          <w:tcPr>
            <w:tcW w:w="6326" w:type="dxa"/>
          </w:tcPr>
          <w:p w14:paraId="0595DD01" w14:textId="714B3C49"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 xml:space="preserve">Tk.  </w:t>
            </w:r>
            <w:r w:rsidR="0025109F" w:rsidRPr="00E166B1">
              <w:rPr>
                <w:rFonts w:ascii="Garamond" w:hAnsi="Garamond" w:cs="Times New Roman"/>
                <w:sz w:val="24"/>
                <w:szCs w:val="24"/>
              </w:rPr>
              <w:t>190</w:t>
            </w:r>
            <w:r w:rsidRPr="00E166B1">
              <w:rPr>
                <w:rFonts w:ascii="Garamond" w:hAnsi="Garamond" w:cs="Times New Roman"/>
                <w:sz w:val="24"/>
                <w:szCs w:val="24"/>
              </w:rPr>
              <w:t>.00mn</w:t>
            </w:r>
          </w:p>
        </w:tc>
      </w:tr>
      <w:tr w:rsidR="00F82C3A" w:rsidRPr="00E166B1" w14:paraId="59023FBC" w14:textId="77777777" w:rsidTr="009358AF">
        <w:trPr>
          <w:trHeight w:val="326"/>
        </w:trPr>
        <w:tc>
          <w:tcPr>
            <w:tcW w:w="3466" w:type="dxa"/>
          </w:tcPr>
          <w:p w14:paraId="3EFE7981"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Post IPO Paid-up Capital</w:t>
            </w:r>
          </w:p>
        </w:tc>
        <w:tc>
          <w:tcPr>
            <w:tcW w:w="6326" w:type="dxa"/>
          </w:tcPr>
          <w:p w14:paraId="4388250D" w14:textId="6511ADDF"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 xml:space="preserve">Tk  </w:t>
            </w:r>
            <w:r w:rsidRPr="00E166B1">
              <w:rPr>
                <w:rFonts w:ascii="Garamond" w:hAnsi="Garamond"/>
                <w:sz w:val="24"/>
                <w:szCs w:val="24"/>
              </w:rPr>
              <w:t xml:space="preserve"> 47</w:t>
            </w:r>
            <w:r w:rsidR="0025109F" w:rsidRPr="00E166B1">
              <w:rPr>
                <w:rFonts w:ascii="Garamond" w:hAnsi="Garamond"/>
                <w:sz w:val="24"/>
                <w:szCs w:val="24"/>
              </w:rPr>
              <w:t>5</w:t>
            </w:r>
            <w:r w:rsidRPr="00E166B1">
              <w:rPr>
                <w:rFonts w:ascii="Garamond" w:hAnsi="Garamond"/>
                <w:sz w:val="24"/>
                <w:szCs w:val="24"/>
              </w:rPr>
              <w:t>.</w:t>
            </w:r>
            <w:r w:rsidR="0025109F" w:rsidRPr="00E166B1">
              <w:rPr>
                <w:rFonts w:ascii="Garamond" w:hAnsi="Garamond"/>
                <w:sz w:val="24"/>
                <w:szCs w:val="24"/>
              </w:rPr>
              <w:t>00</w:t>
            </w:r>
            <w:r w:rsidRPr="00E166B1">
              <w:rPr>
                <w:rFonts w:ascii="Garamond" w:hAnsi="Garamond" w:cs="Times New Roman"/>
                <w:sz w:val="24"/>
                <w:szCs w:val="24"/>
              </w:rPr>
              <w:t>mn</w:t>
            </w:r>
          </w:p>
        </w:tc>
      </w:tr>
      <w:tr w:rsidR="00E166B1" w:rsidRPr="00E166B1" w14:paraId="326DDC54" w14:textId="77777777" w:rsidTr="009358AF">
        <w:trPr>
          <w:trHeight w:val="326"/>
        </w:trPr>
        <w:tc>
          <w:tcPr>
            <w:tcW w:w="3466" w:type="dxa"/>
          </w:tcPr>
          <w:p w14:paraId="043C7B5F" w14:textId="6917B390" w:rsidR="00E166B1" w:rsidRPr="00E166B1" w:rsidRDefault="00E166B1" w:rsidP="009358AF">
            <w:pPr>
              <w:rPr>
                <w:rFonts w:ascii="Garamond" w:hAnsi="Garamond" w:cs="Times New Roman"/>
                <w:sz w:val="24"/>
                <w:szCs w:val="24"/>
              </w:rPr>
            </w:pPr>
            <w:r w:rsidRPr="00E166B1">
              <w:rPr>
                <w:rFonts w:ascii="Garamond" w:hAnsi="Garamond" w:cs="Times New Roman"/>
                <w:sz w:val="24"/>
                <w:szCs w:val="24"/>
              </w:rPr>
              <w:t xml:space="preserve">Life Insurance Fund </w:t>
            </w:r>
          </w:p>
        </w:tc>
        <w:tc>
          <w:tcPr>
            <w:tcW w:w="6326" w:type="dxa"/>
          </w:tcPr>
          <w:p w14:paraId="1F559CD2" w14:textId="12368A40" w:rsidR="00E166B1" w:rsidRPr="00E166B1" w:rsidRDefault="00E166B1" w:rsidP="009358AF">
            <w:pPr>
              <w:rPr>
                <w:rFonts w:ascii="Garamond" w:hAnsi="Garamond" w:cs="Times New Roman"/>
                <w:sz w:val="24"/>
                <w:szCs w:val="24"/>
              </w:rPr>
            </w:pPr>
            <w:r w:rsidRPr="00E166B1">
              <w:rPr>
                <w:rFonts w:ascii="Garamond" w:hAnsi="Garamond" w:cs="Times New Roman"/>
                <w:sz w:val="24"/>
                <w:szCs w:val="24"/>
              </w:rPr>
              <w:t>953.34mn (as on 31.12.2019)</w:t>
            </w:r>
          </w:p>
        </w:tc>
      </w:tr>
      <w:tr w:rsidR="00F82C3A" w:rsidRPr="00E166B1" w14:paraId="38CDE7E4" w14:textId="77777777" w:rsidTr="00E166B1">
        <w:trPr>
          <w:trHeight w:val="1700"/>
        </w:trPr>
        <w:tc>
          <w:tcPr>
            <w:tcW w:w="3466" w:type="dxa"/>
          </w:tcPr>
          <w:p w14:paraId="30E820DC"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Use of IPO proceeds</w:t>
            </w:r>
          </w:p>
        </w:tc>
        <w:tc>
          <w:tcPr>
            <w:tcW w:w="6326" w:type="dxa"/>
          </w:tcPr>
          <w:tbl>
            <w:tblPr>
              <w:tblStyle w:val="TableGrid"/>
              <w:tblW w:w="6097" w:type="dxa"/>
              <w:tblInd w:w="3" w:type="dxa"/>
              <w:tblLook w:val="04A0" w:firstRow="1" w:lastRow="0" w:firstColumn="1" w:lastColumn="0" w:noHBand="0" w:noVBand="1"/>
            </w:tblPr>
            <w:tblGrid>
              <w:gridCol w:w="3697"/>
              <w:gridCol w:w="2400"/>
            </w:tblGrid>
            <w:tr w:rsidR="00411C1E" w:rsidRPr="00E166B1" w14:paraId="73F02771" w14:textId="77777777" w:rsidTr="001666FA">
              <w:trPr>
                <w:trHeight w:val="326"/>
              </w:trPr>
              <w:tc>
                <w:tcPr>
                  <w:tcW w:w="3697" w:type="dxa"/>
                </w:tcPr>
                <w:p w14:paraId="54416E03" w14:textId="77777777" w:rsidR="00F82C3A" w:rsidRPr="00E166B1" w:rsidRDefault="00F82C3A" w:rsidP="00E20E7A">
                  <w:pPr>
                    <w:framePr w:hSpace="180" w:wrap="around" w:hAnchor="margin" w:y="450"/>
                    <w:rPr>
                      <w:rFonts w:ascii="Garamond" w:hAnsi="Garamond" w:cs="Times New Roman"/>
                      <w:sz w:val="24"/>
                      <w:szCs w:val="24"/>
                    </w:rPr>
                  </w:pPr>
                  <w:r w:rsidRPr="00E166B1">
                    <w:rPr>
                      <w:rFonts w:ascii="Garamond" w:hAnsi="Garamond" w:cs="Times New Roman"/>
                      <w:sz w:val="24"/>
                      <w:szCs w:val="24"/>
                    </w:rPr>
                    <w:t>Particulars</w:t>
                  </w:r>
                </w:p>
              </w:tc>
              <w:tc>
                <w:tcPr>
                  <w:tcW w:w="2400" w:type="dxa"/>
                </w:tcPr>
                <w:p w14:paraId="6D265DFA" w14:textId="77777777" w:rsidR="00F82C3A" w:rsidRPr="00E166B1" w:rsidRDefault="00F82C3A" w:rsidP="00E20E7A">
                  <w:pPr>
                    <w:framePr w:hSpace="180" w:wrap="around" w:hAnchor="margin" w:y="450"/>
                    <w:rPr>
                      <w:rFonts w:ascii="Garamond" w:hAnsi="Garamond" w:cs="Times New Roman"/>
                      <w:sz w:val="24"/>
                      <w:szCs w:val="24"/>
                    </w:rPr>
                  </w:pPr>
                  <w:r w:rsidRPr="00E166B1">
                    <w:rPr>
                      <w:rFonts w:ascii="Garamond" w:hAnsi="Garamond" w:cs="Times New Roman"/>
                      <w:sz w:val="24"/>
                      <w:szCs w:val="24"/>
                    </w:rPr>
                    <w:t xml:space="preserve">    Amount (BDT)</w:t>
                  </w:r>
                </w:p>
              </w:tc>
            </w:tr>
            <w:tr w:rsidR="00411C1E" w:rsidRPr="00E166B1" w14:paraId="0D57B2FA" w14:textId="77777777" w:rsidTr="001666FA">
              <w:trPr>
                <w:trHeight w:val="326"/>
              </w:trPr>
              <w:tc>
                <w:tcPr>
                  <w:tcW w:w="3697" w:type="dxa"/>
                </w:tcPr>
                <w:p w14:paraId="5F262258" w14:textId="0AEBF829" w:rsidR="00F82C3A" w:rsidRPr="00E166B1" w:rsidRDefault="00411C1E" w:rsidP="00E20E7A">
                  <w:pPr>
                    <w:framePr w:hSpace="180" w:wrap="around" w:hAnchor="margin" w:y="450"/>
                    <w:rPr>
                      <w:rFonts w:ascii="Garamond" w:hAnsi="Garamond" w:cs="Times New Roman"/>
                      <w:sz w:val="24"/>
                      <w:szCs w:val="24"/>
                    </w:rPr>
                  </w:pPr>
                  <w:r w:rsidRPr="00E166B1">
                    <w:rPr>
                      <w:rFonts w:ascii="Garamond" w:hAnsi="Garamond"/>
                      <w:sz w:val="24"/>
                      <w:szCs w:val="24"/>
                    </w:rPr>
                    <w:t>Investment in FDR &amp; Treasury Bond</w:t>
                  </w:r>
                </w:p>
              </w:tc>
              <w:tc>
                <w:tcPr>
                  <w:tcW w:w="2400" w:type="dxa"/>
                </w:tcPr>
                <w:p w14:paraId="55007364" w14:textId="04C272F9" w:rsidR="00F82C3A" w:rsidRPr="00E166B1" w:rsidRDefault="00F82C3A" w:rsidP="00E20E7A">
                  <w:pPr>
                    <w:framePr w:hSpace="180" w:wrap="around" w:hAnchor="margin" w:y="450"/>
                    <w:jc w:val="center"/>
                    <w:rPr>
                      <w:rFonts w:ascii="Garamond" w:hAnsi="Garamond" w:cs="Times New Roman"/>
                      <w:sz w:val="24"/>
                      <w:szCs w:val="24"/>
                    </w:rPr>
                  </w:pPr>
                  <w:r w:rsidRPr="00E166B1">
                    <w:rPr>
                      <w:rFonts w:ascii="Garamond" w:hAnsi="Garamond" w:cs="Times New Roman"/>
                      <w:sz w:val="24"/>
                      <w:szCs w:val="24"/>
                    </w:rPr>
                    <w:t xml:space="preserve">  </w:t>
                  </w:r>
                  <w:r w:rsidR="00411C1E" w:rsidRPr="00E166B1">
                    <w:rPr>
                      <w:rFonts w:ascii="Garamond" w:hAnsi="Garamond"/>
                      <w:sz w:val="24"/>
                      <w:szCs w:val="24"/>
                    </w:rPr>
                    <w:t xml:space="preserve">178.00 </w:t>
                  </w:r>
                  <w:proofErr w:type="spellStart"/>
                  <w:r w:rsidR="00411C1E" w:rsidRPr="00E166B1">
                    <w:rPr>
                      <w:rFonts w:ascii="Garamond" w:hAnsi="Garamond"/>
                      <w:sz w:val="24"/>
                      <w:szCs w:val="24"/>
                    </w:rPr>
                    <w:t>mn</w:t>
                  </w:r>
                  <w:proofErr w:type="spellEnd"/>
                  <w:r w:rsidR="00411C1E" w:rsidRPr="00E166B1">
                    <w:rPr>
                      <w:rFonts w:ascii="Garamond" w:hAnsi="Garamond"/>
                      <w:sz w:val="24"/>
                      <w:szCs w:val="24"/>
                    </w:rPr>
                    <w:t xml:space="preserve"> (93.68%)</w:t>
                  </w:r>
                </w:p>
              </w:tc>
            </w:tr>
            <w:tr w:rsidR="00411C1E" w:rsidRPr="00E166B1" w14:paraId="6B482848" w14:textId="77777777" w:rsidTr="001666FA">
              <w:trPr>
                <w:trHeight w:val="313"/>
              </w:trPr>
              <w:tc>
                <w:tcPr>
                  <w:tcW w:w="3697" w:type="dxa"/>
                </w:tcPr>
                <w:p w14:paraId="10CCBC42" w14:textId="77777777" w:rsidR="00F82C3A" w:rsidRPr="00E166B1" w:rsidRDefault="00F82C3A" w:rsidP="00E20E7A">
                  <w:pPr>
                    <w:framePr w:hSpace="180" w:wrap="around" w:hAnchor="margin" w:y="450"/>
                    <w:rPr>
                      <w:rFonts w:ascii="Garamond" w:hAnsi="Garamond" w:cs="Times New Roman"/>
                      <w:sz w:val="24"/>
                      <w:szCs w:val="24"/>
                    </w:rPr>
                  </w:pPr>
                  <w:r w:rsidRPr="00E166B1">
                    <w:rPr>
                      <w:rFonts w:ascii="Garamond" w:hAnsi="Garamond" w:cs="Times New Roman"/>
                      <w:sz w:val="24"/>
                      <w:szCs w:val="24"/>
                    </w:rPr>
                    <w:t>IPO Expenses</w:t>
                  </w:r>
                </w:p>
              </w:tc>
              <w:tc>
                <w:tcPr>
                  <w:tcW w:w="2400" w:type="dxa"/>
                </w:tcPr>
                <w:p w14:paraId="195EF776" w14:textId="280438AB" w:rsidR="00F82C3A" w:rsidRPr="00E166B1" w:rsidRDefault="00F82C3A" w:rsidP="00E20E7A">
                  <w:pPr>
                    <w:framePr w:hSpace="180" w:wrap="around" w:hAnchor="margin" w:y="450"/>
                    <w:jc w:val="center"/>
                    <w:rPr>
                      <w:rFonts w:ascii="Garamond" w:hAnsi="Garamond" w:cs="Times New Roman"/>
                      <w:sz w:val="24"/>
                      <w:szCs w:val="24"/>
                    </w:rPr>
                  </w:pPr>
                  <w:r w:rsidRPr="00E166B1">
                    <w:rPr>
                      <w:rFonts w:ascii="Garamond" w:hAnsi="Garamond"/>
                      <w:sz w:val="24"/>
                      <w:szCs w:val="24"/>
                    </w:rPr>
                    <w:t xml:space="preserve">    </w:t>
                  </w:r>
                  <w:r w:rsidR="00411C1E" w:rsidRPr="00E166B1">
                    <w:rPr>
                      <w:rFonts w:ascii="Garamond" w:hAnsi="Garamond"/>
                      <w:sz w:val="24"/>
                      <w:szCs w:val="24"/>
                    </w:rPr>
                    <w:t>12</w:t>
                  </w:r>
                  <w:r w:rsidRPr="00E166B1">
                    <w:rPr>
                      <w:rFonts w:ascii="Garamond" w:hAnsi="Garamond"/>
                      <w:sz w:val="24"/>
                      <w:szCs w:val="24"/>
                    </w:rPr>
                    <w:t>.00mn (</w:t>
                  </w:r>
                  <w:r w:rsidR="00411C1E" w:rsidRPr="00E166B1">
                    <w:rPr>
                      <w:rFonts w:ascii="Garamond" w:hAnsi="Garamond"/>
                      <w:sz w:val="24"/>
                      <w:szCs w:val="24"/>
                    </w:rPr>
                    <w:t>06</w:t>
                  </w:r>
                  <w:r w:rsidRPr="00E166B1">
                    <w:rPr>
                      <w:rFonts w:ascii="Garamond" w:hAnsi="Garamond"/>
                      <w:sz w:val="24"/>
                      <w:szCs w:val="24"/>
                    </w:rPr>
                    <w:t>.</w:t>
                  </w:r>
                  <w:r w:rsidR="00411C1E" w:rsidRPr="00E166B1">
                    <w:rPr>
                      <w:rFonts w:ascii="Garamond" w:hAnsi="Garamond"/>
                      <w:sz w:val="24"/>
                      <w:szCs w:val="24"/>
                    </w:rPr>
                    <w:t>32</w:t>
                  </w:r>
                  <w:r w:rsidRPr="00E166B1">
                    <w:rPr>
                      <w:rFonts w:ascii="Garamond" w:hAnsi="Garamond"/>
                      <w:sz w:val="24"/>
                      <w:szCs w:val="24"/>
                    </w:rPr>
                    <w:t>%)</w:t>
                  </w:r>
                </w:p>
              </w:tc>
            </w:tr>
            <w:tr w:rsidR="00411C1E" w:rsidRPr="00E166B1" w14:paraId="76904BEB" w14:textId="77777777" w:rsidTr="001666FA">
              <w:trPr>
                <w:trHeight w:val="326"/>
              </w:trPr>
              <w:tc>
                <w:tcPr>
                  <w:tcW w:w="3697" w:type="dxa"/>
                </w:tcPr>
                <w:p w14:paraId="4A3E37C2" w14:textId="77777777" w:rsidR="00F82C3A" w:rsidRPr="00E166B1" w:rsidRDefault="00F82C3A" w:rsidP="00E20E7A">
                  <w:pPr>
                    <w:framePr w:hSpace="180" w:wrap="around" w:hAnchor="margin" w:y="450"/>
                    <w:rPr>
                      <w:rFonts w:ascii="Garamond" w:hAnsi="Garamond" w:cs="Times New Roman"/>
                      <w:sz w:val="24"/>
                      <w:szCs w:val="24"/>
                    </w:rPr>
                  </w:pPr>
                  <w:r w:rsidRPr="00E166B1">
                    <w:rPr>
                      <w:rFonts w:ascii="Garamond" w:hAnsi="Garamond" w:cs="Times New Roman"/>
                      <w:sz w:val="24"/>
                      <w:szCs w:val="24"/>
                    </w:rPr>
                    <w:t>Total</w:t>
                  </w:r>
                </w:p>
              </w:tc>
              <w:tc>
                <w:tcPr>
                  <w:tcW w:w="2400" w:type="dxa"/>
                </w:tcPr>
                <w:p w14:paraId="4FEDF301" w14:textId="44FEB5A3" w:rsidR="00F82C3A" w:rsidRPr="00E166B1" w:rsidRDefault="00411C1E" w:rsidP="00E20E7A">
                  <w:pPr>
                    <w:framePr w:hSpace="180" w:wrap="around" w:hAnchor="margin" w:y="450"/>
                    <w:jc w:val="center"/>
                    <w:rPr>
                      <w:rFonts w:ascii="Garamond" w:hAnsi="Garamond" w:cs="Times New Roman"/>
                      <w:sz w:val="24"/>
                      <w:szCs w:val="24"/>
                    </w:rPr>
                  </w:pPr>
                  <w:r w:rsidRPr="00E166B1">
                    <w:rPr>
                      <w:rFonts w:ascii="Garamond" w:hAnsi="Garamond" w:cs="Times New Roman"/>
                      <w:sz w:val="24"/>
                      <w:szCs w:val="24"/>
                    </w:rPr>
                    <w:t>190</w:t>
                  </w:r>
                  <w:r w:rsidR="00F82C3A" w:rsidRPr="00E166B1">
                    <w:rPr>
                      <w:rFonts w:ascii="Garamond" w:hAnsi="Garamond" w:cs="Times New Roman"/>
                      <w:sz w:val="24"/>
                      <w:szCs w:val="24"/>
                    </w:rPr>
                    <w:t>.00</w:t>
                  </w:r>
                  <w:proofErr w:type="gramStart"/>
                  <w:r w:rsidR="00F82C3A" w:rsidRPr="00E166B1">
                    <w:rPr>
                      <w:rFonts w:ascii="Garamond" w:hAnsi="Garamond" w:cs="Times New Roman"/>
                      <w:sz w:val="24"/>
                      <w:szCs w:val="24"/>
                    </w:rPr>
                    <w:t>mn(</w:t>
                  </w:r>
                  <w:proofErr w:type="gramEnd"/>
                  <w:r w:rsidR="00F82C3A" w:rsidRPr="00E166B1">
                    <w:rPr>
                      <w:rFonts w:ascii="Garamond" w:hAnsi="Garamond" w:cs="Times New Roman"/>
                      <w:sz w:val="24"/>
                      <w:szCs w:val="24"/>
                    </w:rPr>
                    <w:t>100%)</w:t>
                  </w:r>
                </w:p>
              </w:tc>
            </w:tr>
          </w:tbl>
          <w:p w14:paraId="18BD7F6B" w14:textId="77777777" w:rsidR="00F82C3A" w:rsidRPr="00E166B1" w:rsidRDefault="00F82C3A" w:rsidP="009358AF">
            <w:pPr>
              <w:rPr>
                <w:rFonts w:ascii="Garamond" w:hAnsi="Garamond" w:cs="Times New Roman"/>
                <w:sz w:val="24"/>
                <w:szCs w:val="24"/>
              </w:rPr>
            </w:pPr>
          </w:p>
        </w:tc>
      </w:tr>
      <w:tr w:rsidR="00E166B1" w:rsidRPr="00E166B1" w14:paraId="4835CCAF" w14:textId="77777777" w:rsidTr="009358AF">
        <w:trPr>
          <w:trHeight w:val="350"/>
        </w:trPr>
        <w:tc>
          <w:tcPr>
            <w:tcW w:w="3466" w:type="dxa"/>
          </w:tcPr>
          <w:p w14:paraId="0E0918AA" w14:textId="4EC896F9"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Issue Manager</w:t>
            </w:r>
            <w:r w:rsidR="00E166B1" w:rsidRPr="00E166B1">
              <w:rPr>
                <w:rFonts w:ascii="Garamond" w:hAnsi="Garamond" w:cs="Times New Roman"/>
                <w:sz w:val="24"/>
                <w:szCs w:val="24"/>
              </w:rPr>
              <w:t>(</w:t>
            </w:r>
            <w:r w:rsidRPr="00E166B1">
              <w:rPr>
                <w:rFonts w:ascii="Garamond" w:hAnsi="Garamond" w:cs="Times New Roman"/>
                <w:sz w:val="24"/>
                <w:szCs w:val="24"/>
              </w:rPr>
              <w:t>s</w:t>
            </w:r>
            <w:r w:rsidR="00E166B1" w:rsidRPr="00E166B1">
              <w:rPr>
                <w:rFonts w:ascii="Garamond" w:hAnsi="Garamond" w:cs="Times New Roman"/>
                <w:sz w:val="24"/>
                <w:szCs w:val="24"/>
              </w:rPr>
              <w:t>)</w:t>
            </w:r>
          </w:p>
        </w:tc>
        <w:tc>
          <w:tcPr>
            <w:tcW w:w="6326" w:type="dxa"/>
          </w:tcPr>
          <w:p w14:paraId="71CEA9AF" w14:textId="77777777" w:rsidR="00E166B1" w:rsidRPr="00E166B1" w:rsidRDefault="00E166B1" w:rsidP="009358AF">
            <w:pPr>
              <w:rPr>
                <w:rFonts w:ascii="Garamond" w:hAnsi="Garamond"/>
                <w:sz w:val="24"/>
                <w:szCs w:val="24"/>
              </w:rPr>
            </w:pPr>
            <w:r w:rsidRPr="00E166B1">
              <w:rPr>
                <w:rFonts w:ascii="Garamond" w:hAnsi="Garamond"/>
                <w:sz w:val="24"/>
                <w:szCs w:val="24"/>
              </w:rPr>
              <w:t xml:space="preserve">ICB Capital Management Limited </w:t>
            </w:r>
          </w:p>
          <w:p w14:paraId="0E03F0B3" w14:textId="1D1CB814" w:rsidR="00F82C3A" w:rsidRPr="00E166B1" w:rsidRDefault="00E166B1" w:rsidP="009358AF">
            <w:pPr>
              <w:rPr>
                <w:rFonts w:ascii="Garamond" w:hAnsi="Garamond" w:cs="Times New Roman"/>
                <w:sz w:val="24"/>
                <w:szCs w:val="24"/>
              </w:rPr>
            </w:pPr>
            <w:proofErr w:type="spellStart"/>
            <w:r w:rsidRPr="00E166B1">
              <w:rPr>
                <w:rFonts w:ascii="Garamond" w:hAnsi="Garamond"/>
                <w:sz w:val="24"/>
                <w:szCs w:val="24"/>
              </w:rPr>
              <w:t>Agrani</w:t>
            </w:r>
            <w:proofErr w:type="spellEnd"/>
            <w:r w:rsidRPr="00E166B1">
              <w:rPr>
                <w:rFonts w:ascii="Garamond" w:hAnsi="Garamond"/>
                <w:sz w:val="24"/>
                <w:szCs w:val="24"/>
              </w:rPr>
              <w:t xml:space="preserve"> Equity &amp; Investment Limited</w:t>
            </w:r>
          </w:p>
        </w:tc>
      </w:tr>
      <w:tr w:rsidR="00E166B1" w:rsidRPr="00E166B1" w14:paraId="7E5E5023" w14:textId="77777777" w:rsidTr="009358AF">
        <w:trPr>
          <w:trHeight w:val="313"/>
        </w:trPr>
        <w:tc>
          <w:tcPr>
            <w:tcW w:w="3466" w:type="dxa"/>
          </w:tcPr>
          <w:p w14:paraId="52FA1E41" w14:textId="77777777" w:rsidR="00F82C3A" w:rsidRPr="00E166B1" w:rsidRDefault="00F82C3A" w:rsidP="009358AF">
            <w:pPr>
              <w:rPr>
                <w:rFonts w:ascii="Garamond" w:hAnsi="Garamond" w:cs="Times New Roman"/>
                <w:sz w:val="24"/>
                <w:szCs w:val="24"/>
              </w:rPr>
            </w:pPr>
            <w:r w:rsidRPr="00E166B1">
              <w:rPr>
                <w:rFonts w:ascii="Garamond" w:hAnsi="Garamond" w:cs="Times New Roman"/>
                <w:sz w:val="24"/>
                <w:szCs w:val="24"/>
              </w:rPr>
              <w:t>Auditor</w:t>
            </w:r>
          </w:p>
        </w:tc>
        <w:tc>
          <w:tcPr>
            <w:tcW w:w="6326" w:type="dxa"/>
          </w:tcPr>
          <w:p w14:paraId="606784CB" w14:textId="19B190F4" w:rsidR="00F82C3A" w:rsidRPr="00E166B1" w:rsidRDefault="00E166B1" w:rsidP="009358AF">
            <w:pPr>
              <w:rPr>
                <w:rFonts w:ascii="Garamond" w:hAnsi="Garamond" w:cs="Times New Roman"/>
                <w:sz w:val="24"/>
                <w:szCs w:val="24"/>
              </w:rPr>
            </w:pPr>
            <w:r w:rsidRPr="00E166B1">
              <w:rPr>
                <w:rFonts w:ascii="Garamond" w:hAnsi="Garamond"/>
                <w:sz w:val="24"/>
                <w:szCs w:val="24"/>
              </w:rPr>
              <w:t xml:space="preserve">Shiraz Khan </w:t>
            </w:r>
            <w:proofErr w:type="spellStart"/>
            <w:r w:rsidRPr="00E166B1">
              <w:rPr>
                <w:rFonts w:ascii="Garamond" w:hAnsi="Garamond"/>
                <w:sz w:val="24"/>
                <w:szCs w:val="24"/>
              </w:rPr>
              <w:t>Basak</w:t>
            </w:r>
            <w:proofErr w:type="spellEnd"/>
            <w:r w:rsidRPr="00E166B1">
              <w:rPr>
                <w:rFonts w:ascii="Garamond" w:hAnsi="Garamond"/>
                <w:sz w:val="24"/>
                <w:szCs w:val="24"/>
              </w:rPr>
              <w:t xml:space="preserve"> &amp; Co., Chartered Accountants</w:t>
            </w:r>
          </w:p>
        </w:tc>
      </w:tr>
      <w:tr w:rsidR="00E20E7A" w:rsidRPr="00E166B1" w14:paraId="2C2EBF8A" w14:textId="77777777" w:rsidTr="009358AF">
        <w:trPr>
          <w:trHeight w:val="313"/>
        </w:trPr>
        <w:tc>
          <w:tcPr>
            <w:tcW w:w="3466" w:type="dxa"/>
          </w:tcPr>
          <w:p w14:paraId="3AE262AC" w14:textId="188BF2D5" w:rsidR="00E20E7A" w:rsidRPr="00E166B1" w:rsidRDefault="00E20E7A" w:rsidP="009358AF">
            <w:pPr>
              <w:rPr>
                <w:rFonts w:ascii="Garamond" w:hAnsi="Garamond" w:cs="Times New Roman"/>
                <w:sz w:val="24"/>
                <w:szCs w:val="24"/>
              </w:rPr>
            </w:pPr>
            <w:r>
              <w:rPr>
                <w:rFonts w:ascii="Garamond" w:hAnsi="Garamond" w:cs="Times New Roman"/>
                <w:sz w:val="24"/>
                <w:szCs w:val="24"/>
              </w:rPr>
              <w:t>Actuary</w:t>
            </w:r>
          </w:p>
        </w:tc>
        <w:tc>
          <w:tcPr>
            <w:tcW w:w="6326" w:type="dxa"/>
          </w:tcPr>
          <w:p w14:paraId="19F02100" w14:textId="60287E23" w:rsidR="00E20E7A" w:rsidRPr="00E166B1" w:rsidRDefault="00E20E7A" w:rsidP="009358AF">
            <w:pPr>
              <w:rPr>
                <w:rFonts w:ascii="Garamond" w:hAnsi="Garamond"/>
                <w:sz w:val="24"/>
                <w:szCs w:val="24"/>
              </w:rPr>
            </w:pPr>
            <w:r>
              <w:rPr>
                <w:rFonts w:ascii="Garamond" w:hAnsi="Garamond"/>
                <w:sz w:val="24"/>
                <w:szCs w:val="24"/>
              </w:rPr>
              <w:t>Z. Halim &amp; Associates</w:t>
            </w:r>
          </w:p>
        </w:tc>
      </w:tr>
    </w:tbl>
    <w:p w14:paraId="38ADC1C3" w14:textId="0D04DCC1" w:rsidR="00A872DD" w:rsidRPr="00E166B1" w:rsidRDefault="009358AF" w:rsidP="009358AF">
      <w:pPr>
        <w:jc w:val="center"/>
        <w:rPr>
          <w:rFonts w:ascii="Garamond" w:hAnsi="Garamond" w:cs="Times New Roman"/>
          <w:b/>
          <w:bCs/>
          <w:sz w:val="28"/>
          <w:szCs w:val="28"/>
        </w:rPr>
      </w:pPr>
      <w:proofErr w:type="spellStart"/>
      <w:r w:rsidRPr="00E166B1">
        <w:rPr>
          <w:rFonts w:ascii="Garamond" w:hAnsi="Garamond" w:cs="Times New Roman"/>
          <w:b/>
          <w:bCs/>
          <w:sz w:val="28"/>
          <w:szCs w:val="28"/>
        </w:rPr>
        <w:t>Sonali</w:t>
      </w:r>
      <w:proofErr w:type="spellEnd"/>
      <w:r w:rsidRPr="00E166B1">
        <w:rPr>
          <w:rFonts w:ascii="Garamond" w:hAnsi="Garamond" w:cs="Times New Roman"/>
          <w:b/>
          <w:bCs/>
          <w:sz w:val="28"/>
          <w:szCs w:val="28"/>
        </w:rPr>
        <w:t xml:space="preserve"> Life Insurance Company Limited</w:t>
      </w:r>
    </w:p>
    <w:p w14:paraId="104882B8" w14:textId="48CB8CAF" w:rsidR="00DF5716" w:rsidRPr="00E166B1" w:rsidRDefault="00DF5716" w:rsidP="00BB69E8">
      <w:pPr>
        <w:rPr>
          <w:rFonts w:ascii="Garamond" w:hAnsi="Garamond" w:cs="Times New Roman"/>
        </w:rPr>
      </w:pPr>
    </w:p>
    <w:p w14:paraId="43E0E61F" w14:textId="25E91738" w:rsidR="00DF5716" w:rsidRDefault="00DF5716" w:rsidP="00BB69E8">
      <w:pPr>
        <w:rPr>
          <w:rFonts w:ascii="Garamond" w:hAnsi="Garamond" w:cs="Times New Roman"/>
          <w:color w:val="FF0000"/>
        </w:rPr>
      </w:pPr>
    </w:p>
    <w:p w14:paraId="7A2C7EA8" w14:textId="42687E67" w:rsidR="00DF5716" w:rsidRDefault="00DF5716" w:rsidP="00BB69E8">
      <w:pPr>
        <w:rPr>
          <w:rFonts w:ascii="Garamond" w:hAnsi="Garamond" w:cs="Times New Roman"/>
          <w:color w:val="FF0000"/>
        </w:rPr>
      </w:pPr>
    </w:p>
    <w:p w14:paraId="3DC6067E" w14:textId="7AF4F2A6" w:rsidR="00E166B1" w:rsidRDefault="00E166B1" w:rsidP="00BB69E8">
      <w:pPr>
        <w:rPr>
          <w:rFonts w:ascii="Garamond" w:hAnsi="Garamond" w:cs="Times New Roman"/>
          <w:color w:val="FF0000"/>
        </w:rPr>
      </w:pPr>
    </w:p>
    <w:p w14:paraId="220DB574" w14:textId="77777777" w:rsidR="0059452C" w:rsidRDefault="0059452C" w:rsidP="00BB69E8">
      <w:pPr>
        <w:rPr>
          <w:rFonts w:ascii="Garamond" w:hAnsi="Garamond" w:cs="Times New Roman"/>
          <w:color w:val="FF0000"/>
        </w:rPr>
      </w:pPr>
    </w:p>
    <w:p w14:paraId="5761A8B3" w14:textId="77777777" w:rsidR="00E166B1" w:rsidRDefault="00E166B1" w:rsidP="00BB69E8">
      <w:pPr>
        <w:rPr>
          <w:rFonts w:ascii="Garamond" w:hAnsi="Garamond" w:cs="Times New Roman"/>
          <w:color w:val="FF0000"/>
        </w:rPr>
      </w:pPr>
    </w:p>
    <w:p w14:paraId="67A3187B" w14:textId="76EF09BC" w:rsidR="00DF5716" w:rsidRDefault="00DF5716" w:rsidP="00BB69E8">
      <w:pPr>
        <w:rPr>
          <w:rFonts w:ascii="Garamond" w:hAnsi="Garamond" w:cs="Times New Roman"/>
          <w:color w:val="FF0000"/>
        </w:rPr>
      </w:pPr>
    </w:p>
    <w:p w14:paraId="4B557672" w14:textId="04FC4CD5" w:rsidR="00DF5716" w:rsidRPr="00EA4C14" w:rsidRDefault="009358AF" w:rsidP="009358AF">
      <w:pPr>
        <w:jc w:val="center"/>
        <w:rPr>
          <w:rFonts w:ascii="Garamond" w:hAnsi="Garamond" w:cs="Times New Roman"/>
          <w:b/>
          <w:bCs/>
          <w:sz w:val="28"/>
          <w:szCs w:val="28"/>
          <w:u w:val="single"/>
        </w:rPr>
      </w:pPr>
      <w:r w:rsidRPr="00EA4C14">
        <w:rPr>
          <w:rFonts w:ascii="Garamond" w:hAnsi="Garamond" w:cs="Times New Roman"/>
          <w:b/>
          <w:bCs/>
          <w:sz w:val="28"/>
          <w:szCs w:val="28"/>
          <w:u w:val="single"/>
        </w:rPr>
        <w:t>Details of Subscription for Eligible Investors (EIs)</w:t>
      </w:r>
    </w:p>
    <w:tbl>
      <w:tblPr>
        <w:tblStyle w:val="TableGrid"/>
        <w:tblW w:w="0" w:type="auto"/>
        <w:tblLook w:val="04A0" w:firstRow="1" w:lastRow="0" w:firstColumn="1" w:lastColumn="0" w:noHBand="0" w:noVBand="1"/>
      </w:tblPr>
      <w:tblGrid>
        <w:gridCol w:w="4495"/>
        <w:gridCol w:w="4585"/>
      </w:tblGrid>
      <w:tr w:rsidR="006F2B2A" w:rsidRPr="00C73B26" w14:paraId="27133F16" w14:textId="77777777" w:rsidTr="006F2B2A">
        <w:tc>
          <w:tcPr>
            <w:tcW w:w="4495" w:type="dxa"/>
          </w:tcPr>
          <w:p w14:paraId="167DDA64" w14:textId="4C61910A" w:rsidR="006F2B2A" w:rsidRPr="00C73B26" w:rsidRDefault="006F2B2A" w:rsidP="00BB69E8">
            <w:pPr>
              <w:rPr>
                <w:rFonts w:ascii="Garamond" w:hAnsi="Garamond" w:cs="Times New Roman"/>
                <w:color w:val="FF0000"/>
                <w:sz w:val="24"/>
                <w:szCs w:val="24"/>
              </w:rPr>
            </w:pPr>
            <w:r w:rsidRPr="00C73B26">
              <w:rPr>
                <w:rFonts w:ascii="Garamond" w:hAnsi="Garamond"/>
                <w:sz w:val="24"/>
                <w:szCs w:val="24"/>
              </w:rPr>
              <w:t>Eligibility of Els for Subscription</w:t>
            </w:r>
          </w:p>
        </w:tc>
        <w:tc>
          <w:tcPr>
            <w:tcW w:w="4585" w:type="dxa"/>
          </w:tcPr>
          <w:p w14:paraId="4866B3F9" w14:textId="15B68FFD" w:rsidR="006F2B2A" w:rsidRPr="00C73B26" w:rsidRDefault="006F2B2A" w:rsidP="006F2B2A">
            <w:pPr>
              <w:jc w:val="both"/>
              <w:rPr>
                <w:rFonts w:ascii="Garamond" w:hAnsi="Garamond" w:cs="Times New Roman"/>
                <w:color w:val="FF0000"/>
                <w:sz w:val="24"/>
                <w:szCs w:val="24"/>
              </w:rPr>
            </w:pPr>
            <w:r w:rsidRPr="00C73B26">
              <w:rPr>
                <w:rFonts w:ascii="Garamond" w:hAnsi="Garamond"/>
                <w:sz w:val="24"/>
                <w:szCs w:val="24"/>
              </w:rPr>
              <w:t>Shall maintain a minimum investment of Tk. 5,000,000 (Taka fifty lacs only) in listed securities (matured securities) at market price for approved pension funds, recognized provident funds and approved gratuity funds and for other Els BDT 10,000,000 (Taka one crore only) as on the end of May 19, 2021.</w:t>
            </w:r>
          </w:p>
        </w:tc>
      </w:tr>
      <w:tr w:rsidR="006F2B2A" w:rsidRPr="00C73B26" w14:paraId="72EFEDA3" w14:textId="77777777" w:rsidTr="006F2B2A">
        <w:tc>
          <w:tcPr>
            <w:tcW w:w="4495" w:type="dxa"/>
          </w:tcPr>
          <w:p w14:paraId="2867EA7D" w14:textId="448BD1B9" w:rsidR="006F2B2A" w:rsidRPr="00C73B26" w:rsidRDefault="006F2B2A" w:rsidP="009358AF">
            <w:pPr>
              <w:rPr>
                <w:rFonts w:ascii="Garamond" w:hAnsi="Garamond" w:cs="Times New Roman"/>
                <w:color w:val="FF0000"/>
                <w:sz w:val="24"/>
                <w:szCs w:val="24"/>
              </w:rPr>
            </w:pPr>
            <w:r w:rsidRPr="00C73B26">
              <w:rPr>
                <w:rFonts w:ascii="Garamond" w:hAnsi="Garamond"/>
                <w:sz w:val="24"/>
                <w:szCs w:val="24"/>
              </w:rPr>
              <w:t>Period of Subscription</w:t>
            </w:r>
          </w:p>
        </w:tc>
        <w:tc>
          <w:tcPr>
            <w:tcW w:w="4585" w:type="dxa"/>
          </w:tcPr>
          <w:p w14:paraId="16122D39" w14:textId="24E81AC8" w:rsidR="006F2B2A" w:rsidRPr="00C73B26" w:rsidRDefault="006F2B2A" w:rsidP="009358AF">
            <w:pPr>
              <w:rPr>
                <w:rFonts w:ascii="Garamond" w:hAnsi="Garamond"/>
                <w:sz w:val="24"/>
                <w:szCs w:val="24"/>
              </w:rPr>
            </w:pPr>
            <w:r w:rsidRPr="00C73B26">
              <w:rPr>
                <w:rFonts w:ascii="Garamond" w:hAnsi="Garamond"/>
                <w:sz w:val="24"/>
                <w:szCs w:val="24"/>
              </w:rPr>
              <w:t>Starts at 10:00 a.m. on May 30, 2021;</w:t>
            </w:r>
          </w:p>
          <w:p w14:paraId="288E3765" w14:textId="600E0CE9" w:rsidR="006F2B2A" w:rsidRPr="00C73B26" w:rsidRDefault="006F2B2A" w:rsidP="009358AF">
            <w:pPr>
              <w:rPr>
                <w:rFonts w:ascii="Garamond" w:hAnsi="Garamond" w:cs="Times New Roman"/>
                <w:color w:val="FF0000"/>
                <w:sz w:val="24"/>
                <w:szCs w:val="24"/>
              </w:rPr>
            </w:pPr>
            <w:r w:rsidRPr="00C73B26">
              <w:rPr>
                <w:rFonts w:ascii="Garamond" w:hAnsi="Garamond"/>
                <w:sz w:val="24"/>
                <w:szCs w:val="24"/>
              </w:rPr>
              <w:t>Closes at 5:30 p.m. on June 03, 2021</w:t>
            </w:r>
          </w:p>
        </w:tc>
      </w:tr>
      <w:tr w:rsidR="006F2B2A" w:rsidRPr="00C73B26" w14:paraId="6975C3AC" w14:textId="77777777" w:rsidTr="006F2B2A">
        <w:trPr>
          <w:trHeight w:val="602"/>
        </w:trPr>
        <w:tc>
          <w:tcPr>
            <w:tcW w:w="4495" w:type="dxa"/>
          </w:tcPr>
          <w:p w14:paraId="797C7F25" w14:textId="6DDD9791" w:rsidR="006F2B2A" w:rsidRPr="00C73B26" w:rsidRDefault="006F2B2A" w:rsidP="009358AF">
            <w:pPr>
              <w:rPr>
                <w:rFonts w:ascii="Garamond" w:hAnsi="Garamond" w:cs="Times New Roman"/>
                <w:color w:val="FF0000"/>
                <w:sz w:val="24"/>
                <w:szCs w:val="24"/>
              </w:rPr>
            </w:pPr>
            <w:r w:rsidRPr="00C73B26">
              <w:rPr>
                <w:rFonts w:ascii="Garamond" w:hAnsi="Garamond"/>
                <w:sz w:val="24"/>
                <w:szCs w:val="24"/>
              </w:rPr>
              <w:t>Deposit of collateral and Subscription Fee</w:t>
            </w:r>
          </w:p>
        </w:tc>
        <w:tc>
          <w:tcPr>
            <w:tcW w:w="4585" w:type="dxa"/>
          </w:tcPr>
          <w:p w14:paraId="3C5476CD" w14:textId="3D6519E1" w:rsidR="006F2B2A" w:rsidRPr="00C73B26" w:rsidRDefault="006F2B2A" w:rsidP="009358AF">
            <w:pPr>
              <w:rPr>
                <w:rFonts w:ascii="Garamond" w:hAnsi="Garamond"/>
                <w:sz w:val="24"/>
                <w:szCs w:val="24"/>
              </w:rPr>
            </w:pPr>
            <w:r w:rsidRPr="00C73B26">
              <w:rPr>
                <w:rFonts w:ascii="Garamond" w:hAnsi="Garamond"/>
                <w:sz w:val="24"/>
                <w:szCs w:val="24"/>
              </w:rPr>
              <w:t>Starts at 10:00 a.m. on May 30, 2021;</w:t>
            </w:r>
          </w:p>
          <w:p w14:paraId="4003B64F" w14:textId="5C4E2818" w:rsidR="006F2B2A" w:rsidRPr="00C73B26" w:rsidRDefault="006F2B2A" w:rsidP="009358AF">
            <w:pPr>
              <w:rPr>
                <w:rFonts w:ascii="Garamond" w:hAnsi="Garamond" w:cs="Times New Roman"/>
                <w:color w:val="FF0000"/>
                <w:sz w:val="24"/>
                <w:szCs w:val="24"/>
              </w:rPr>
            </w:pPr>
            <w:r w:rsidRPr="00C73B26">
              <w:rPr>
                <w:rFonts w:ascii="Garamond" w:hAnsi="Garamond"/>
                <w:sz w:val="24"/>
                <w:szCs w:val="24"/>
              </w:rPr>
              <w:t xml:space="preserve">Closes at </w:t>
            </w:r>
            <w:r w:rsidR="00E20E7A">
              <w:rPr>
                <w:rFonts w:ascii="Garamond" w:hAnsi="Garamond"/>
                <w:sz w:val="24"/>
                <w:szCs w:val="24"/>
              </w:rPr>
              <w:t>2</w:t>
            </w:r>
            <w:r w:rsidRPr="00C73B26">
              <w:rPr>
                <w:rFonts w:ascii="Garamond" w:hAnsi="Garamond"/>
                <w:sz w:val="24"/>
                <w:szCs w:val="24"/>
              </w:rPr>
              <w:t>:</w:t>
            </w:r>
            <w:r w:rsidR="00E20E7A">
              <w:rPr>
                <w:rFonts w:ascii="Garamond" w:hAnsi="Garamond"/>
                <w:sz w:val="24"/>
                <w:szCs w:val="24"/>
              </w:rPr>
              <w:t>0</w:t>
            </w:r>
            <w:r w:rsidRPr="00C73B26">
              <w:rPr>
                <w:rFonts w:ascii="Garamond" w:hAnsi="Garamond"/>
                <w:sz w:val="24"/>
                <w:szCs w:val="24"/>
              </w:rPr>
              <w:t>0 p.m. on June 03, 2021</w:t>
            </w:r>
          </w:p>
        </w:tc>
      </w:tr>
      <w:tr w:rsidR="006F2B2A" w:rsidRPr="00C73B26" w14:paraId="64C176EE" w14:textId="77777777" w:rsidTr="006F2B2A">
        <w:tc>
          <w:tcPr>
            <w:tcW w:w="4495" w:type="dxa"/>
          </w:tcPr>
          <w:p w14:paraId="65E0888E" w14:textId="1C011057" w:rsidR="006F2B2A" w:rsidRPr="00C73B26" w:rsidRDefault="006F2B2A" w:rsidP="00BB69E8">
            <w:pPr>
              <w:rPr>
                <w:rFonts w:ascii="Garamond" w:hAnsi="Garamond" w:cs="Times New Roman"/>
                <w:color w:val="FF0000"/>
                <w:sz w:val="24"/>
                <w:szCs w:val="24"/>
              </w:rPr>
            </w:pPr>
            <w:r w:rsidRPr="00C73B26">
              <w:rPr>
                <w:rFonts w:ascii="Garamond" w:hAnsi="Garamond"/>
                <w:sz w:val="24"/>
                <w:szCs w:val="24"/>
              </w:rPr>
              <w:t>Total Fund to be raised from EIs</w:t>
            </w:r>
          </w:p>
        </w:tc>
        <w:tc>
          <w:tcPr>
            <w:tcW w:w="4585" w:type="dxa"/>
          </w:tcPr>
          <w:p w14:paraId="445AA6E5" w14:textId="2375831B" w:rsidR="006F2B2A" w:rsidRPr="00C73B26" w:rsidRDefault="006F2B2A" w:rsidP="00BB69E8">
            <w:pPr>
              <w:rPr>
                <w:rFonts w:ascii="Garamond" w:hAnsi="Garamond" w:cs="Times New Roman"/>
                <w:color w:val="FF0000"/>
                <w:sz w:val="24"/>
                <w:szCs w:val="24"/>
              </w:rPr>
            </w:pPr>
            <w:r w:rsidRPr="00C73B26">
              <w:rPr>
                <w:rFonts w:ascii="Garamond" w:hAnsi="Garamond"/>
                <w:sz w:val="24"/>
                <w:szCs w:val="24"/>
              </w:rPr>
              <w:t>BDT 76,000,000</w:t>
            </w:r>
          </w:p>
        </w:tc>
      </w:tr>
      <w:tr w:rsidR="006F2B2A" w:rsidRPr="00C73B26" w14:paraId="15F16F09" w14:textId="77777777" w:rsidTr="006F2B2A">
        <w:tc>
          <w:tcPr>
            <w:tcW w:w="4495" w:type="dxa"/>
          </w:tcPr>
          <w:p w14:paraId="72A85371" w14:textId="6C334327" w:rsidR="006F2B2A" w:rsidRPr="00C73B26" w:rsidRDefault="006F2B2A" w:rsidP="00BB69E8">
            <w:pPr>
              <w:rPr>
                <w:rFonts w:ascii="Garamond" w:hAnsi="Garamond" w:cs="Times New Roman"/>
                <w:color w:val="FF0000"/>
                <w:sz w:val="24"/>
                <w:szCs w:val="24"/>
              </w:rPr>
            </w:pPr>
            <w:r w:rsidRPr="00C73B26">
              <w:rPr>
                <w:rFonts w:ascii="Garamond" w:hAnsi="Garamond"/>
                <w:sz w:val="24"/>
                <w:szCs w:val="24"/>
              </w:rPr>
              <w:t>Total Number of Shares Offered to EIs</w:t>
            </w:r>
          </w:p>
        </w:tc>
        <w:tc>
          <w:tcPr>
            <w:tcW w:w="4585" w:type="dxa"/>
          </w:tcPr>
          <w:p w14:paraId="1D064E2A" w14:textId="266C9724" w:rsidR="006F2B2A" w:rsidRPr="00C73B26" w:rsidRDefault="006F2B2A" w:rsidP="00BB69E8">
            <w:pPr>
              <w:rPr>
                <w:rFonts w:ascii="Garamond" w:hAnsi="Garamond" w:cs="Times New Roman"/>
                <w:color w:val="FF0000"/>
                <w:sz w:val="24"/>
                <w:szCs w:val="24"/>
              </w:rPr>
            </w:pPr>
            <w:r w:rsidRPr="00C73B26">
              <w:rPr>
                <w:rFonts w:ascii="Garamond" w:hAnsi="Garamond"/>
                <w:sz w:val="24"/>
                <w:szCs w:val="24"/>
              </w:rPr>
              <w:t>7,600,000</w:t>
            </w:r>
          </w:p>
        </w:tc>
      </w:tr>
      <w:tr w:rsidR="006F2B2A" w:rsidRPr="00C73B26" w14:paraId="1006DAF9" w14:textId="77777777" w:rsidTr="006F2B2A">
        <w:tc>
          <w:tcPr>
            <w:tcW w:w="4495" w:type="dxa"/>
          </w:tcPr>
          <w:p w14:paraId="4CE668D3" w14:textId="140CBFCA" w:rsidR="006F2B2A" w:rsidRPr="00C73B26" w:rsidRDefault="006F2B2A" w:rsidP="00BB69E8">
            <w:pPr>
              <w:rPr>
                <w:rFonts w:ascii="Garamond" w:hAnsi="Garamond"/>
                <w:sz w:val="24"/>
                <w:szCs w:val="24"/>
              </w:rPr>
            </w:pPr>
            <w:r w:rsidRPr="00C73B26">
              <w:rPr>
                <w:rFonts w:ascii="Garamond" w:hAnsi="Garamond"/>
                <w:sz w:val="24"/>
                <w:szCs w:val="24"/>
              </w:rPr>
              <w:t>Quota Wise Amount Distribution for EIs</w:t>
            </w:r>
          </w:p>
        </w:tc>
        <w:tc>
          <w:tcPr>
            <w:tcW w:w="4585" w:type="dxa"/>
          </w:tcPr>
          <w:p w14:paraId="3B650B2C" w14:textId="77777777" w:rsidR="006F2B2A" w:rsidRPr="00C73B26" w:rsidRDefault="006F2B2A" w:rsidP="00BB69E8">
            <w:pPr>
              <w:rPr>
                <w:rFonts w:ascii="Garamond" w:hAnsi="Garamond"/>
                <w:sz w:val="24"/>
                <w:szCs w:val="24"/>
              </w:rPr>
            </w:pPr>
            <w:r w:rsidRPr="00C73B26">
              <w:rPr>
                <w:rFonts w:ascii="Garamond" w:hAnsi="Garamond"/>
                <w:sz w:val="24"/>
                <w:szCs w:val="24"/>
              </w:rPr>
              <w:t>Eligible Investor: BDT 57,000,000</w:t>
            </w:r>
          </w:p>
          <w:p w14:paraId="2AF18EFA" w14:textId="6A9E9B90" w:rsidR="006F2B2A" w:rsidRPr="00C73B26" w:rsidRDefault="006F2B2A" w:rsidP="00BB69E8">
            <w:pPr>
              <w:rPr>
                <w:rFonts w:ascii="Garamond" w:hAnsi="Garamond"/>
                <w:sz w:val="24"/>
                <w:szCs w:val="24"/>
              </w:rPr>
            </w:pPr>
            <w:r w:rsidRPr="00C73B26">
              <w:rPr>
                <w:rFonts w:ascii="Garamond" w:hAnsi="Garamond"/>
                <w:sz w:val="24"/>
                <w:szCs w:val="24"/>
              </w:rPr>
              <w:t>Mutual Fund: BDT 19,000,000</w:t>
            </w:r>
          </w:p>
        </w:tc>
      </w:tr>
      <w:tr w:rsidR="006F2B2A" w:rsidRPr="00C73B26" w14:paraId="7A459780" w14:textId="77777777" w:rsidTr="006F2B2A">
        <w:tc>
          <w:tcPr>
            <w:tcW w:w="4495" w:type="dxa"/>
          </w:tcPr>
          <w:p w14:paraId="74643FFA" w14:textId="3488050D" w:rsidR="006F2B2A" w:rsidRPr="00C73B26" w:rsidRDefault="006F2B2A" w:rsidP="00BB69E8">
            <w:pPr>
              <w:rPr>
                <w:rFonts w:ascii="Garamond" w:hAnsi="Garamond"/>
                <w:sz w:val="24"/>
                <w:szCs w:val="24"/>
              </w:rPr>
            </w:pPr>
            <w:r w:rsidRPr="00C73B26">
              <w:rPr>
                <w:rFonts w:ascii="Garamond" w:hAnsi="Garamond"/>
                <w:sz w:val="24"/>
                <w:szCs w:val="24"/>
              </w:rPr>
              <w:t>Quota Wise Share Distribution for EIs</w:t>
            </w:r>
          </w:p>
        </w:tc>
        <w:tc>
          <w:tcPr>
            <w:tcW w:w="4585" w:type="dxa"/>
          </w:tcPr>
          <w:p w14:paraId="792DFC21" w14:textId="77777777" w:rsidR="006F2B2A" w:rsidRPr="00C73B26" w:rsidRDefault="006F2B2A" w:rsidP="00BB69E8">
            <w:pPr>
              <w:rPr>
                <w:rFonts w:ascii="Garamond" w:hAnsi="Garamond"/>
                <w:sz w:val="24"/>
                <w:szCs w:val="24"/>
              </w:rPr>
            </w:pPr>
            <w:r w:rsidRPr="00C73B26">
              <w:rPr>
                <w:rFonts w:ascii="Garamond" w:hAnsi="Garamond"/>
                <w:sz w:val="24"/>
                <w:szCs w:val="24"/>
              </w:rPr>
              <w:t xml:space="preserve">Eligible Investor: 5,700,000 </w:t>
            </w:r>
          </w:p>
          <w:p w14:paraId="5C5D16EE" w14:textId="0C03645D" w:rsidR="006F2B2A" w:rsidRPr="00C73B26" w:rsidRDefault="006F2B2A" w:rsidP="00BB69E8">
            <w:pPr>
              <w:rPr>
                <w:rFonts w:ascii="Garamond" w:hAnsi="Garamond"/>
                <w:sz w:val="24"/>
                <w:szCs w:val="24"/>
              </w:rPr>
            </w:pPr>
            <w:r w:rsidRPr="00C73B26">
              <w:rPr>
                <w:rFonts w:ascii="Garamond" w:hAnsi="Garamond"/>
                <w:sz w:val="24"/>
                <w:szCs w:val="24"/>
              </w:rPr>
              <w:t>Mutual Fund: 1,900,000</w:t>
            </w:r>
          </w:p>
        </w:tc>
      </w:tr>
      <w:tr w:rsidR="006F2B2A" w:rsidRPr="00C73B26" w14:paraId="13140CDF" w14:textId="77777777" w:rsidTr="006F2B2A">
        <w:tc>
          <w:tcPr>
            <w:tcW w:w="4495" w:type="dxa"/>
          </w:tcPr>
          <w:p w14:paraId="54B529E0" w14:textId="0BAAE68D" w:rsidR="006F2B2A" w:rsidRPr="00C73B26" w:rsidRDefault="006F2B2A" w:rsidP="00BB69E8">
            <w:pPr>
              <w:rPr>
                <w:rFonts w:ascii="Garamond" w:hAnsi="Garamond"/>
                <w:sz w:val="24"/>
                <w:szCs w:val="24"/>
              </w:rPr>
            </w:pPr>
            <w:r w:rsidRPr="00C73B26">
              <w:rPr>
                <w:rFonts w:ascii="Garamond" w:hAnsi="Garamond"/>
                <w:sz w:val="24"/>
                <w:szCs w:val="24"/>
              </w:rPr>
              <w:t>Maximum Amount allowed for Subscription by an EI</w:t>
            </w:r>
          </w:p>
        </w:tc>
        <w:tc>
          <w:tcPr>
            <w:tcW w:w="4585" w:type="dxa"/>
          </w:tcPr>
          <w:p w14:paraId="3B0D94D9" w14:textId="087A5B9A" w:rsidR="006F2B2A" w:rsidRPr="00C73B26" w:rsidRDefault="006F2B2A" w:rsidP="00BB69E8">
            <w:pPr>
              <w:rPr>
                <w:rFonts w:ascii="Garamond" w:hAnsi="Garamond"/>
                <w:sz w:val="24"/>
                <w:szCs w:val="24"/>
              </w:rPr>
            </w:pPr>
            <w:r w:rsidRPr="00C73B26">
              <w:rPr>
                <w:rFonts w:ascii="Garamond" w:hAnsi="Garamond"/>
                <w:sz w:val="24"/>
                <w:szCs w:val="24"/>
              </w:rPr>
              <w:t>BDT 1,520,000</w:t>
            </w:r>
          </w:p>
        </w:tc>
      </w:tr>
      <w:tr w:rsidR="006F2B2A" w:rsidRPr="00C73B26" w14:paraId="24FCB725" w14:textId="77777777" w:rsidTr="006F2B2A">
        <w:tc>
          <w:tcPr>
            <w:tcW w:w="4495" w:type="dxa"/>
          </w:tcPr>
          <w:p w14:paraId="106317C0" w14:textId="3B183D74" w:rsidR="006F2B2A" w:rsidRPr="00C73B26" w:rsidRDefault="006F2B2A" w:rsidP="00BB69E8">
            <w:pPr>
              <w:rPr>
                <w:rFonts w:ascii="Garamond" w:hAnsi="Garamond"/>
                <w:sz w:val="24"/>
                <w:szCs w:val="24"/>
              </w:rPr>
            </w:pPr>
            <w:r w:rsidRPr="00C73B26">
              <w:rPr>
                <w:rFonts w:ascii="Garamond" w:hAnsi="Garamond"/>
                <w:sz w:val="24"/>
                <w:szCs w:val="24"/>
              </w:rPr>
              <w:t>Maximum Number of Subscription can be placed by an EI</w:t>
            </w:r>
          </w:p>
        </w:tc>
        <w:tc>
          <w:tcPr>
            <w:tcW w:w="4585" w:type="dxa"/>
          </w:tcPr>
          <w:p w14:paraId="4E2CBA87" w14:textId="0C97BACC" w:rsidR="006F2B2A" w:rsidRPr="00C73B26" w:rsidRDefault="006F2B2A" w:rsidP="00BB69E8">
            <w:pPr>
              <w:rPr>
                <w:rFonts w:ascii="Garamond" w:hAnsi="Garamond"/>
                <w:sz w:val="24"/>
                <w:szCs w:val="24"/>
              </w:rPr>
            </w:pPr>
            <w:r w:rsidRPr="00C73B26">
              <w:rPr>
                <w:rFonts w:ascii="Garamond" w:hAnsi="Garamond"/>
                <w:sz w:val="24"/>
                <w:szCs w:val="24"/>
              </w:rPr>
              <w:t>1 (One)</w:t>
            </w:r>
          </w:p>
        </w:tc>
      </w:tr>
      <w:tr w:rsidR="006F2B2A" w:rsidRPr="00C73B26" w14:paraId="1D733043" w14:textId="77777777" w:rsidTr="006F2B2A">
        <w:tc>
          <w:tcPr>
            <w:tcW w:w="4495" w:type="dxa"/>
          </w:tcPr>
          <w:p w14:paraId="15540A48" w14:textId="330BB3DA" w:rsidR="006F2B2A" w:rsidRPr="00C73B26" w:rsidRDefault="006F2B2A" w:rsidP="00BB69E8">
            <w:pPr>
              <w:rPr>
                <w:rFonts w:ascii="Garamond" w:hAnsi="Garamond"/>
                <w:sz w:val="24"/>
                <w:szCs w:val="24"/>
              </w:rPr>
            </w:pPr>
            <w:r w:rsidRPr="00C73B26">
              <w:rPr>
                <w:rFonts w:ascii="Garamond" w:hAnsi="Garamond"/>
                <w:sz w:val="24"/>
                <w:szCs w:val="24"/>
              </w:rPr>
              <w:t>Subscription Fee for an EI</w:t>
            </w:r>
          </w:p>
        </w:tc>
        <w:tc>
          <w:tcPr>
            <w:tcW w:w="4585" w:type="dxa"/>
          </w:tcPr>
          <w:p w14:paraId="3017D5D6" w14:textId="13CC5B09" w:rsidR="006F2B2A" w:rsidRPr="00C73B26" w:rsidRDefault="006F2B2A" w:rsidP="00BB69E8">
            <w:pPr>
              <w:rPr>
                <w:rFonts w:ascii="Garamond" w:hAnsi="Garamond"/>
                <w:sz w:val="24"/>
                <w:szCs w:val="24"/>
              </w:rPr>
            </w:pPr>
            <w:r w:rsidRPr="00C73B26">
              <w:rPr>
                <w:rFonts w:ascii="Garamond" w:hAnsi="Garamond"/>
                <w:sz w:val="24"/>
                <w:szCs w:val="24"/>
              </w:rPr>
              <w:t>BDT 3,000</w:t>
            </w:r>
          </w:p>
        </w:tc>
      </w:tr>
      <w:tr w:rsidR="006F2B2A" w:rsidRPr="00C73B26" w14:paraId="2B621BB2" w14:textId="77777777" w:rsidTr="006F2B2A">
        <w:tc>
          <w:tcPr>
            <w:tcW w:w="4495" w:type="dxa"/>
          </w:tcPr>
          <w:p w14:paraId="1AE7C5DD" w14:textId="7AF79429" w:rsidR="006F2B2A" w:rsidRPr="00C73B26" w:rsidRDefault="006F2B2A" w:rsidP="00BB69E8">
            <w:pPr>
              <w:rPr>
                <w:rFonts w:ascii="Garamond" w:hAnsi="Garamond"/>
                <w:sz w:val="24"/>
                <w:szCs w:val="24"/>
              </w:rPr>
            </w:pPr>
            <w:r w:rsidRPr="00C73B26">
              <w:rPr>
                <w:rFonts w:ascii="Garamond" w:hAnsi="Garamond"/>
                <w:sz w:val="24"/>
                <w:szCs w:val="24"/>
              </w:rPr>
              <w:t>Collateral amount for an EI</w:t>
            </w:r>
          </w:p>
        </w:tc>
        <w:tc>
          <w:tcPr>
            <w:tcW w:w="4585" w:type="dxa"/>
          </w:tcPr>
          <w:p w14:paraId="0313D86A" w14:textId="142B0297" w:rsidR="006F2B2A" w:rsidRPr="00C73B26" w:rsidRDefault="006F2B2A" w:rsidP="00BB69E8">
            <w:pPr>
              <w:rPr>
                <w:rFonts w:ascii="Garamond" w:hAnsi="Garamond"/>
                <w:sz w:val="24"/>
                <w:szCs w:val="24"/>
              </w:rPr>
            </w:pPr>
            <w:r w:rsidRPr="00C73B26">
              <w:rPr>
                <w:rFonts w:ascii="Garamond" w:hAnsi="Garamond"/>
                <w:sz w:val="24"/>
                <w:szCs w:val="24"/>
              </w:rPr>
              <w:t>100% Subscription</w:t>
            </w:r>
          </w:p>
        </w:tc>
      </w:tr>
      <w:tr w:rsidR="006F2B2A" w:rsidRPr="00C73B26" w14:paraId="785681BE" w14:textId="77777777" w:rsidTr="006F2B2A">
        <w:tc>
          <w:tcPr>
            <w:tcW w:w="4495" w:type="dxa"/>
          </w:tcPr>
          <w:p w14:paraId="57EFEE56" w14:textId="4B1B6A72" w:rsidR="006F2B2A" w:rsidRPr="00C73B26" w:rsidRDefault="006F2B2A" w:rsidP="00BB69E8">
            <w:pPr>
              <w:rPr>
                <w:rFonts w:ascii="Garamond" w:hAnsi="Garamond"/>
                <w:sz w:val="24"/>
                <w:szCs w:val="24"/>
              </w:rPr>
            </w:pPr>
            <w:r w:rsidRPr="00C73B26">
              <w:rPr>
                <w:rFonts w:ascii="Garamond" w:hAnsi="Garamond"/>
                <w:sz w:val="24"/>
                <w:szCs w:val="24"/>
              </w:rPr>
              <w:t>Mode of payment</w:t>
            </w:r>
          </w:p>
        </w:tc>
        <w:tc>
          <w:tcPr>
            <w:tcW w:w="4585" w:type="dxa"/>
          </w:tcPr>
          <w:p w14:paraId="07FC625F" w14:textId="46DAD42A" w:rsidR="006F2B2A" w:rsidRPr="00C73B26" w:rsidRDefault="006F2B2A" w:rsidP="00BB69E8">
            <w:pPr>
              <w:rPr>
                <w:rFonts w:ascii="Garamond" w:hAnsi="Garamond"/>
                <w:sz w:val="24"/>
                <w:szCs w:val="24"/>
              </w:rPr>
            </w:pPr>
            <w:r w:rsidRPr="00C73B26">
              <w:rPr>
                <w:rFonts w:ascii="Garamond" w:hAnsi="Garamond"/>
                <w:sz w:val="24"/>
                <w:szCs w:val="24"/>
              </w:rPr>
              <w:t>Pay Order/Demand Draft/ B.B. Cheque /Cash</w:t>
            </w:r>
          </w:p>
        </w:tc>
      </w:tr>
    </w:tbl>
    <w:p w14:paraId="2D605708" w14:textId="6D89B9EC" w:rsidR="00DF5716" w:rsidRPr="00C73B26" w:rsidRDefault="00DF5716" w:rsidP="00BB69E8">
      <w:pPr>
        <w:rPr>
          <w:rFonts w:ascii="Garamond" w:hAnsi="Garamond" w:cs="Times New Roman"/>
          <w:color w:val="FF0000"/>
        </w:rPr>
      </w:pPr>
    </w:p>
    <w:p w14:paraId="57AE8EF7" w14:textId="5EAF79DD" w:rsidR="00C73B26" w:rsidRPr="00C73B26" w:rsidRDefault="00C73B26" w:rsidP="00BB69E8">
      <w:pPr>
        <w:rPr>
          <w:rFonts w:ascii="Garamond" w:hAnsi="Garamond" w:cs="Times New Roman"/>
          <w:color w:val="FF0000"/>
        </w:rPr>
      </w:pPr>
    </w:p>
    <w:p w14:paraId="0CE2EEDA" w14:textId="77777777" w:rsidR="00C73B26" w:rsidRPr="00C73B26" w:rsidRDefault="00C73B26" w:rsidP="00BB69E8">
      <w:pPr>
        <w:rPr>
          <w:rFonts w:ascii="Garamond" w:hAnsi="Garamond" w:cs="Times New Roman"/>
          <w:color w:val="FF0000"/>
        </w:rPr>
      </w:pPr>
    </w:p>
    <w:p w14:paraId="2F08BE53" w14:textId="34940EAF" w:rsidR="006F2B2A" w:rsidRPr="00EA4C14" w:rsidRDefault="00844215" w:rsidP="00BB69E8">
      <w:pPr>
        <w:rPr>
          <w:rFonts w:ascii="Garamond" w:hAnsi="Garamond"/>
          <w:b/>
          <w:bCs/>
          <w:u w:val="single"/>
        </w:rPr>
      </w:pPr>
      <w:r w:rsidRPr="00EA4C14">
        <w:rPr>
          <w:rFonts w:ascii="Garamond" w:hAnsi="Garamond"/>
          <w:b/>
          <w:bCs/>
          <w:u w:val="single"/>
        </w:rPr>
        <w:t>B</w:t>
      </w:r>
      <w:r w:rsidR="00B91BE0" w:rsidRPr="00EA4C14">
        <w:rPr>
          <w:rFonts w:ascii="Garamond" w:hAnsi="Garamond"/>
          <w:b/>
          <w:bCs/>
          <w:u w:val="single"/>
        </w:rPr>
        <w:t>ank</w:t>
      </w:r>
      <w:r w:rsidRPr="00EA4C14">
        <w:rPr>
          <w:rFonts w:ascii="Garamond" w:hAnsi="Garamond"/>
          <w:b/>
          <w:bCs/>
          <w:u w:val="single"/>
        </w:rPr>
        <w:t xml:space="preserve"> D</w:t>
      </w:r>
      <w:r w:rsidR="00B91BE0" w:rsidRPr="00EA4C14">
        <w:rPr>
          <w:rFonts w:ascii="Garamond" w:hAnsi="Garamond"/>
          <w:b/>
          <w:bCs/>
          <w:u w:val="single"/>
        </w:rPr>
        <w:t xml:space="preserve">etails </w:t>
      </w:r>
      <w:r w:rsidRPr="00EA4C14">
        <w:rPr>
          <w:rFonts w:ascii="Garamond" w:hAnsi="Garamond"/>
          <w:b/>
          <w:bCs/>
          <w:u w:val="single"/>
        </w:rPr>
        <w:t>F</w:t>
      </w:r>
      <w:r w:rsidR="00B91BE0" w:rsidRPr="00EA4C14">
        <w:rPr>
          <w:rFonts w:ascii="Garamond" w:hAnsi="Garamond"/>
          <w:b/>
          <w:bCs/>
          <w:u w:val="single"/>
        </w:rPr>
        <w:t>or</w:t>
      </w:r>
      <w:r w:rsidRPr="00EA4C14">
        <w:rPr>
          <w:rFonts w:ascii="Garamond" w:hAnsi="Garamond"/>
          <w:b/>
          <w:bCs/>
          <w:u w:val="single"/>
        </w:rPr>
        <w:t xml:space="preserve"> D</w:t>
      </w:r>
      <w:r w:rsidR="00B91BE0" w:rsidRPr="00EA4C14">
        <w:rPr>
          <w:rFonts w:ascii="Garamond" w:hAnsi="Garamond"/>
          <w:b/>
          <w:bCs/>
          <w:u w:val="single"/>
        </w:rPr>
        <w:t xml:space="preserve">epositing </w:t>
      </w:r>
      <w:r w:rsidR="00E20E7A" w:rsidRPr="00EA4C14">
        <w:rPr>
          <w:rFonts w:ascii="Garamond" w:hAnsi="Garamond"/>
          <w:b/>
          <w:bCs/>
          <w:u w:val="single"/>
        </w:rPr>
        <w:t xml:space="preserve">EI </w:t>
      </w:r>
      <w:r w:rsidR="00B91BE0" w:rsidRPr="00EA4C14">
        <w:rPr>
          <w:rFonts w:ascii="Garamond" w:hAnsi="Garamond"/>
          <w:b/>
          <w:bCs/>
          <w:u w:val="single"/>
        </w:rPr>
        <w:t xml:space="preserve">Subscription </w:t>
      </w:r>
      <w:proofErr w:type="gramStart"/>
      <w:r w:rsidR="00B91BE0" w:rsidRPr="00EA4C14">
        <w:rPr>
          <w:rFonts w:ascii="Garamond" w:hAnsi="Garamond"/>
          <w:b/>
          <w:bCs/>
          <w:u w:val="single"/>
        </w:rPr>
        <w:t xml:space="preserve">Money </w:t>
      </w:r>
      <w:r w:rsidRPr="00EA4C14">
        <w:rPr>
          <w:rFonts w:ascii="Garamond" w:hAnsi="Garamond"/>
          <w:b/>
          <w:bCs/>
          <w:u w:val="single"/>
        </w:rPr>
        <w:t>:</w:t>
      </w:r>
      <w:proofErr w:type="gramEnd"/>
    </w:p>
    <w:tbl>
      <w:tblPr>
        <w:tblStyle w:val="TableGrid"/>
        <w:tblW w:w="0" w:type="auto"/>
        <w:tblLook w:val="04A0" w:firstRow="1" w:lastRow="0" w:firstColumn="1" w:lastColumn="0" w:noHBand="0" w:noVBand="1"/>
      </w:tblPr>
      <w:tblGrid>
        <w:gridCol w:w="3116"/>
        <w:gridCol w:w="3449"/>
      </w:tblGrid>
      <w:tr w:rsidR="00844215" w:rsidRPr="00C73B26" w14:paraId="70CECE4B" w14:textId="77777777" w:rsidTr="00E20E7A">
        <w:tc>
          <w:tcPr>
            <w:tcW w:w="3116" w:type="dxa"/>
          </w:tcPr>
          <w:p w14:paraId="67F625AE" w14:textId="3D71A050" w:rsidR="00844215" w:rsidRPr="00C73B26" w:rsidRDefault="00844215" w:rsidP="00844215">
            <w:pPr>
              <w:rPr>
                <w:rFonts w:ascii="Garamond" w:hAnsi="Garamond" w:cs="Times New Roman"/>
                <w:color w:val="FF0000"/>
                <w:sz w:val="24"/>
                <w:szCs w:val="24"/>
              </w:rPr>
            </w:pPr>
            <w:r w:rsidRPr="00C73B26">
              <w:rPr>
                <w:rFonts w:ascii="Garamond" w:hAnsi="Garamond"/>
                <w:sz w:val="24"/>
                <w:szCs w:val="24"/>
              </w:rPr>
              <w:t xml:space="preserve">Account Name </w:t>
            </w:r>
          </w:p>
        </w:tc>
        <w:tc>
          <w:tcPr>
            <w:tcW w:w="3449" w:type="dxa"/>
          </w:tcPr>
          <w:p w14:paraId="376D226F" w14:textId="24DF9577" w:rsidR="00844215" w:rsidRPr="00C73B26" w:rsidRDefault="00844215" w:rsidP="00844215">
            <w:pPr>
              <w:rPr>
                <w:rFonts w:ascii="Garamond" w:hAnsi="Garamond" w:cs="Times New Roman"/>
                <w:color w:val="FF0000"/>
                <w:sz w:val="24"/>
                <w:szCs w:val="24"/>
              </w:rPr>
            </w:pPr>
            <w:r w:rsidRPr="00C73B26">
              <w:rPr>
                <w:rFonts w:ascii="Garamond" w:hAnsi="Garamond"/>
                <w:sz w:val="24"/>
                <w:szCs w:val="24"/>
              </w:rPr>
              <w:t xml:space="preserve"> Dhaka Stock Exchange Limited</w:t>
            </w:r>
          </w:p>
        </w:tc>
      </w:tr>
      <w:tr w:rsidR="00844215" w:rsidRPr="00C73B26" w14:paraId="71EA2121" w14:textId="77777777" w:rsidTr="00E20E7A">
        <w:tc>
          <w:tcPr>
            <w:tcW w:w="3116" w:type="dxa"/>
          </w:tcPr>
          <w:p w14:paraId="48CD0882" w14:textId="7202A4A4" w:rsidR="00844215" w:rsidRPr="00C73B26" w:rsidRDefault="00844215" w:rsidP="00BB69E8">
            <w:pPr>
              <w:rPr>
                <w:rFonts w:ascii="Garamond" w:hAnsi="Garamond" w:cs="Times New Roman"/>
                <w:color w:val="FF0000"/>
                <w:sz w:val="24"/>
                <w:szCs w:val="24"/>
              </w:rPr>
            </w:pPr>
            <w:r w:rsidRPr="00C73B26">
              <w:rPr>
                <w:rFonts w:ascii="Garamond" w:hAnsi="Garamond"/>
                <w:sz w:val="24"/>
                <w:szCs w:val="24"/>
              </w:rPr>
              <w:t>Bank Name</w:t>
            </w:r>
          </w:p>
        </w:tc>
        <w:tc>
          <w:tcPr>
            <w:tcW w:w="3449" w:type="dxa"/>
          </w:tcPr>
          <w:p w14:paraId="43DC3500" w14:textId="6C53226D" w:rsidR="00844215" w:rsidRPr="00C73B26" w:rsidRDefault="00844215" w:rsidP="00BB69E8">
            <w:pPr>
              <w:rPr>
                <w:rFonts w:ascii="Garamond" w:hAnsi="Garamond" w:cs="Times New Roman"/>
                <w:color w:val="FF0000"/>
                <w:sz w:val="24"/>
                <w:szCs w:val="24"/>
              </w:rPr>
            </w:pPr>
            <w:r w:rsidRPr="00C73B26">
              <w:rPr>
                <w:rFonts w:ascii="Garamond" w:hAnsi="Garamond"/>
                <w:sz w:val="24"/>
                <w:szCs w:val="24"/>
              </w:rPr>
              <w:t>The City Bank Limited</w:t>
            </w:r>
          </w:p>
        </w:tc>
      </w:tr>
      <w:tr w:rsidR="00844215" w:rsidRPr="00C73B26" w14:paraId="48F43800" w14:textId="77777777" w:rsidTr="00E20E7A">
        <w:tc>
          <w:tcPr>
            <w:tcW w:w="3116" w:type="dxa"/>
          </w:tcPr>
          <w:p w14:paraId="3E05F0EA" w14:textId="0BC8588C" w:rsidR="00844215" w:rsidRPr="00C73B26" w:rsidRDefault="00844215" w:rsidP="00BB69E8">
            <w:pPr>
              <w:rPr>
                <w:rFonts w:ascii="Garamond" w:hAnsi="Garamond" w:cs="Times New Roman"/>
                <w:color w:val="FF0000"/>
                <w:sz w:val="24"/>
                <w:szCs w:val="24"/>
              </w:rPr>
            </w:pPr>
            <w:r w:rsidRPr="00C73B26">
              <w:rPr>
                <w:rFonts w:ascii="Garamond" w:hAnsi="Garamond"/>
                <w:sz w:val="24"/>
                <w:szCs w:val="24"/>
              </w:rPr>
              <w:t>Bank Account Number</w:t>
            </w:r>
          </w:p>
        </w:tc>
        <w:tc>
          <w:tcPr>
            <w:tcW w:w="3449" w:type="dxa"/>
          </w:tcPr>
          <w:p w14:paraId="3CFCCA93" w14:textId="3F73CFFE" w:rsidR="00844215" w:rsidRPr="00C73B26" w:rsidRDefault="00844215" w:rsidP="00BB69E8">
            <w:pPr>
              <w:rPr>
                <w:rFonts w:ascii="Garamond" w:hAnsi="Garamond" w:cs="Times New Roman"/>
                <w:color w:val="FF0000"/>
                <w:sz w:val="24"/>
                <w:szCs w:val="24"/>
              </w:rPr>
            </w:pPr>
            <w:r w:rsidRPr="00C73B26">
              <w:rPr>
                <w:rFonts w:ascii="Garamond" w:hAnsi="Garamond"/>
                <w:sz w:val="24"/>
                <w:szCs w:val="24"/>
              </w:rPr>
              <w:t>1121063938001</w:t>
            </w:r>
          </w:p>
        </w:tc>
      </w:tr>
      <w:tr w:rsidR="00844215" w:rsidRPr="00C73B26" w14:paraId="6B4EF4F7" w14:textId="77777777" w:rsidTr="00E20E7A">
        <w:tc>
          <w:tcPr>
            <w:tcW w:w="3116" w:type="dxa"/>
          </w:tcPr>
          <w:p w14:paraId="5C154698" w14:textId="48C51DDC" w:rsidR="00844215" w:rsidRPr="00C73B26" w:rsidRDefault="00844215" w:rsidP="00BB69E8">
            <w:pPr>
              <w:rPr>
                <w:rFonts w:ascii="Garamond" w:hAnsi="Garamond" w:cs="Times New Roman"/>
                <w:color w:val="FF0000"/>
                <w:sz w:val="24"/>
                <w:szCs w:val="24"/>
              </w:rPr>
            </w:pPr>
            <w:r w:rsidRPr="00C73B26">
              <w:rPr>
                <w:rFonts w:ascii="Garamond" w:hAnsi="Garamond"/>
                <w:sz w:val="24"/>
                <w:szCs w:val="24"/>
              </w:rPr>
              <w:t>Branch Name</w:t>
            </w:r>
          </w:p>
        </w:tc>
        <w:tc>
          <w:tcPr>
            <w:tcW w:w="3449" w:type="dxa"/>
          </w:tcPr>
          <w:p w14:paraId="7CDDFD65" w14:textId="70417C09" w:rsidR="00844215" w:rsidRPr="00C73B26" w:rsidRDefault="00844215" w:rsidP="00BB69E8">
            <w:pPr>
              <w:rPr>
                <w:rFonts w:ascii="Garamond" w:hAnsi="Garamond" w:cs="Times New Roman"/>
                <w:color w:val="FF0000"/>
                <w:sz w:val="24"/>
                <w:szCs w:val="24"/>
              </w:rPr>
            </w:pPr>
            <w:r w:rsidRPr="00C73B26">
              <w:rPr>
                <w:rFonts w:ascii="Garamond" w:hAnsi="Garamond"/>
                <w:sz w:val="24"/>
                <w:szCs w:val="24"/>
              </w:rPr>
              <w:t>Any Branch in Bangladesh</w:t>
            </w:r>
          </w:p>
        </w:tc>
      </w:tr>
    </w:tbl>
    <w:p w14:paraId="28FECFAE" w14:textId="6D25349D" w:rsidR="00844215" w:rsidRPr="00C73B26" w:rsidRDefault="00844215" w:rsidP="00BB69E8">
      <w:pPr>
        <w:rPr>
          <w:rFonts w:ascii="Garamond" w:hAnsi="Garamond" w:cs="Times New Roman"/>
          <w:color w:val="FF0000"/>
        </w:rPr>
      </w:pPr>
    </w:p>
    <w:p w14:paraId="476061F2" w14:textId="579A64F1" w:rsidR="00C73B26" w:rsidRPr="00C73B26" w:rsidRDefault="00C73B26" w:rsidP="00BB69E8">
      <w:pPr>
        <w:rPr>
          <w:rFonts w:ascii="Garamond" w:hAnsi="Garamond" w:cs="Times New Roman"/>
          <w:color w:val="FF0000"/>
        </w:rPr>
      </w:pPr>
    </w:p>
    <w:p w14:paraId="591F5E32" w14:textId="236D8C8B" w:rsidR="00C73B26" w:rsidRPr="00C73B26" w:rsidRDefault="00C73B26" w:rsidP="00BB69E8">
      <w:pPr>
        <w:rPr>
          <w:rFonts w:ascii="Garamond" w:hAnsi="Garamond" w:cs="Times New Roman"/>
          <w:color w:val="FF0000"/>
        </w:rPr>
      </w:pPr>
    </w:p>
    <w:p w14:paraId="3CB564F2" w14:textId="15EE7773" w:rsidR="00C73B26" w:rsidRPr="00C73B26" w:rsidRDefault="00C73B26" w:rsidP="00BB69E8">
      <w:pPr>
        <w:rPr>
          <w:rFonts w:ascii="Garamond" w:hAnsi="Garamond" w:cs="Times New Roman"/>
          <w:color w:val="FF0000"/>
        </w:rPr>
      </w:pPr>
    </w:p>
    <w:p w14:paraId="786940F4" w14:textId="78EDCA19" w:rsidR="00C73B26" w:rsidRPr="00C73B26" w:rsidRDefault="00C73B26" w:rsidP="00BB69E8">
      <w:pPr>
        <w:rPr>
          <w:rFonts w:ascii="Garamond" w:hAnsi="Garamond" w:cs="Times New Roman"/>
          <w:color w:val="FF0000"/>
        </w:rPr>
      </w:pPr>
    </w:p>
    <w:p w14:paraId="556F0BDB" w14:textId="2026A441" w:rsidR="00C73B26" w:rsidRPr="00C73B26" w:rsidRDefault="00C73B26" w:rsidP="00BB69E8">
      <w:pPr>
        <w:rPr>
          <w:rFonts w:ascii="Garamond" w:hAnsi="Garamond" w:cs="Times New Roman"/>
          <w:color w:val="FF0000"/>
        </w:rPr>
      </w:pPr>
    </w:p>
    <w:p w14:paraId="05782756" w14:textId="77777777" w:rsidR="00C73B26" w:rsidRPr="00C73B26" w:rsidRDefault="00C73B26" w:rsidP="00BB69E8">
      <w:pPr>
        <w:rPr>
          <w:rFonts w:ascii="Garamond" w:hAnsi="Garamond" w:cs="Times New Roman"/>
          <w:color w:val="FF0000"/>
        </w:rPr>
      </w:pPr>
    </w:p>
    <w:p w14:paraId="7DB3984B" w14:textId="4BFEB1EA" w:rsidR="00844215" w:rsidRPr="00EA4C14" w:rsidRDefault="00844215" w:rsidP="00BB69E8">
      <w:pPr>
        <w:rPr>
          <w:rFonts w:ascii="Garamond" w:hAnsi="Garamond"/>
          <w:b/>
          <w:bCs/>
          <w:sz w:val="28"/>
          <w:szCs w:val="28"/>
          <w:u w:val="single"/>
        </w:rPr>
      </w:pPr>
      <w:r w:rsidRPr="00EA4C14">
        <w:rPr>
          <w:rFonts w:ascii="Garamond" w:hAnsi="Garamond"/>
          <w:b/>
          <w:bCs/>
          <w:sz w:val="28"/>
          <w:szCs w:val="28"/>
          <w:u w:val="single"/>
        </w:rPr>
        <w:t>D</w:t>
      </w:r>
      <w:r w:rsidR="00B91BE0" w:rsidRPr="00EA4C14">
        <w:rPr>
          <w:rFonts w:ascii="Garamond" w:hAnsi="Garamond"/>
          <w:b/>
          <w:bCs/>
          <w:sz w:val="28"/>
          <w:szCs w:val="28"/>
          <w:u w:val="single"/>
        </w:rPr>
        <w:t xml:space="preserve">etails </w:t>
      </w:r>
      <w:r w:rsidR="00EA4C14" w:rsidRPr="00EA4C14">
        <w:rPr>
          <w:rFonts w:ascii="Garamond" w:hAnsi="Garamond"/>
          <w:b/>
          <w:bCs/>
          <w:sz w:val="28"/>
          <w:szCs w:val="28"/>
          <w:u w:val="single"/>
        </w:rPr>
        <w:t>of Subscription</w:t>
      </w:r>
      <w:r w:rsidR="00B91BE0" w:rsidRPr="00EA4C14">
        <w:rPr>
          <w:rFonts w:ascii="Garamond" w:hAnsi="Garamond"/>
          <w:b/>
          <w:bCs/>
          <w:sz w:val="28"/>
          <w:szCs w:val="28"/>
          <w:u w:val="single"/>
        </w:rPr>
        <w:t xml:space="preserve"> For Gener</w:t>
      </w:r>
      <w:r w:rsidR="00E20E7A" w:rsidRPr="00EA4C14">
        <w:rPr>
          <w:rFonts w:ascii="Garamond" w:hAnsi="Garamond"/>
          <w:b/>
          <w:bCs/>
          <w:sz w:val="28"/>
          <w:szCs w:val="28"/>
          <w:u w:val="single"/>
        </w:rPr>
        <w:t>a</w:t>
      </w:r>
      <w:r w:rsidR="00EA4C14" w:rsidRPr="00EA4C14">
        <w:rPr>
          <w:rFonts w:ascii="Garamond" w:hAnsi="Garamond"/>
          <w:b/>
          <w:bCs/>
          <w:sz w:val="28"/>
          <w:szCs w:val="28"/>
          <w:u w:val="single"/>
        </w:rPr>
        <w:t>l</w:t>
      </w:r>
      <w:r w:rsidR="00B91BE0" w:rsidRPr="00EA4C14">
        <w:rPr>
          <w:rFonts w:ascii="Garamond" w:hAnsi="Garamond"/>
          <w:b/>
          <w:bCs/>
          <w:sz w:val="28"/>
          <w:szCs w:val="28"/>
          <w:u w:val="single"/>
        </w:rPr>
        <w:t xml:space="preserve"> Public Categories {</w:t>
      </w:r>
      <w:r w:rsidRPr="00EA4C14">
        <w:rPr>
          <w:rFonts w:ascii="Garamond" w:hAnsi="Garamond"/>
          <w:b/>
          <w:bCs/>
          <w:sz w:val="28"/>
          <w:szCs w:val="28"/>
          <w:u w:val="single"/>
        </w:rPr>
        <w:t>G</w:t>
      </w:r>
      <w:r w:rsidR="00B91BE0" w:rsidRPr="00EA4C14">
        <w:rPr>
          <w:rFonts w:ascii="Garamond" w:hAnsi="Garamond"/>
          <w:b/>
          <w:bCs/>
          <w:sz w:val="28"/>
          <w:szCs w:val="28"/>
          <w:u w:val="single"/>
        </w:rPr>
        <w:t xml:space="preserve">eneral </w:t>
      </w:r>
      <w:proofErr w:type="gramStart"/>
      <w:r w:rsidRPr="00EA4C14">
        <w:rPr>
          <w:rFonts w:ascii="Garamond" w:hAnsi="Garamond"/>
          <w:b/>
          <w:bCs/>
          <w:sz w:val="28"/>
          <w:szCs w:val="28"/>
          <w:u w:val="single"/>
        </w:rPr>
        <w:t>P</w:t>
      </w:r>
      <w:r w:rsidR="00B91BE0" w:rsidRPr="00EA4C14">
        <w:rPr>
          <w:rFonts w:ascii="Garamond" w:hAnsi="Garamond"/>
          <w:b/>
          <w:bCs/>
          <w:sz w:val="28"/>
          <w:szCs w:val="28"/>
          <w:u w:val="single"/>
        </w:rPr>
        <w:t xml:space="preserve">ublic </w:t>
      </w:r>
      <w:r w:rsidRPr="00EA4C14">
        <w:rPr>
          <w:rFonts w:ascii="Garamond" w:hAnsi="Garamond"/>
          <w:b/>
          <w:bCs/>
          <w:sz w:val="28"/>
          <w:szCs w:val="28"/>
          <w:u w:val="single"/>
        </w:rPr>
        <w:t>,</w:t>
      </w:r>
      <w:proofErr w:type="gramEnd"/>
      <w:r w:rsidR="00B91BE0" w:rsidRPr="00EA4C14">
        <w:rPr>
          <w:rFonts w:ascii="Garamond" w:hAnsi="Garamond"/>
          <w:b/>
          <w:bCs/>
          <w:sz w:val="28"/>
          <w:szCs w:val="28"/>
          <w:u w:val="single"/>
        </w:rPr>
        <w:t xml:space="preserve"> ASI</w:t>
      </w:r>
      <w:r w:rsidRPr="00EA4C14">
        <w:rPr>
          <w:rFonts w:ascii="Garamond" w:hAnsi="Garamond"/>
          <w:b/>
          <w:bCs/>
          <w:sz w:val="28"/>
          <w:szCs w:val="28"/>
          <w:u w:val="single"/>
        </w:rPr>
        <w:t xml:space="preserve"> </w:t>
      </w:r>
      <w:r w:rsidR="00C73B26" w:rsidRPr="00EA4C14">
        <w:rPr>
          <w:rFonts w:ascii="Garamond" w:hAnsi="Garamond"/>
          <w:b/>
          <w:bCs/>
          <w:sz w:val="28"/>
          <w:szCs w:val="28"/>
          <w:u w:val="single"/>
        </w:rPr>
        <w:t>(Affected Small Investors)</w:t>
      </w:r>
      <w:r w:rsidRPr="00EA4C14">
        <w:rPr>
          <w:rFonts w:ascii="Garamond" w:hAnsi="Garamond"/>
          <w:b/>
          <w:bCs/>
          <w:sz w:val="28"/>
          <w:szCs w:val="28"/>
          <w:u w:val="single"/>
        </w:rPr>
        <w:t xml:space="preserve"> A</w:t>
      </w:r>
      <w:r w:rsidR="00B91BE0" w:rsidRPr="00EA4C14">
        <w:rPr>
          <w:rFonts w:ascii="Garamond" w:hAnsi="Garamond"/>
          <w:b/>
          <w:bCs/>
          <w:sz w:val="28"/>
          <w:szCs w:val="28"/>
          <w:u w:val="single"/>
        </w:rPr>
        <w:t>nd</w:t>
      </w:r>
      <w:r w:rsidRPr="00EA4C14">
        <w:rPr>
          <w:rFonts w:ascii="Garamond" w:hAnsi="Garamond"/>
          <w:b/>
          <w:bCs/>
          <w:sz w:val="28"/>
          <w:szCs w:val="28"/>
          <w:u w:val="single"/>
        </w:rPr>
        <w:t xml:space="preserve"> N</w:t>
      </w:r>
      <w:r w:rsidR="00EA4C14" w:rsidRPr="00EA4C14">
        <w:rPr>
          <w:rFonts w:ascii="Garamond" w:hAnsi="Garamond"/>
          <w:b/>
          <w:bCs/>
          <w:sz w:val="28"/>
          <w:szCs w:val="28"/>
          <w:u w:val="single"/>
        </w:rPr>
        <w:t>B</w:t>
      </w:r>
      <w:r w:rsidRPr="00EA4C14">
        <w:rPr>
          <w:rFonts w:ascii="Garamond" w:hAnsi="Garamond"/>
          <w:b/>
          <w:bCs/>
          <w:sz w:val="28"/>
          <w:szCs w:val="28"/>
          <w:u w:val="single"/>
        </w:rPr>
        <w:t>R</w:t>
      </w:r>
      <w:r w:rsidR="00B91BE0" w:rsidRPr="00EA4C14">
        <w:rPr>
          <w:rFonts w:ascii="Garamond" w:hAnsi="Garamond"/>
          <w:b/>
          <w:bCs/>
          <w:sz w:val="28"/>
          <w:szCs w:val="28"/>
          <w:u w:val="single"/>
        </w:rPr>
        <w:t>}:</w:t>
      </w:r>
    </w:p>
    <w:p w14:paraId="6BA9917C" w14:textId="77777777" w:rsidR="00C73B26" w:rsidRPr="00C73B26" w:rsidRDefault="00C73B26" w:rsidP="00BB69E8">
      <w:pPr>
        <w:rPr>
          <w:rFonts w:ascii="Garamond" w:hAnsi="Garamond"/>
        </w:rPr>
      </w:pPr>
    </w:p>
    <w:tbl>
      <w:tblPr>
        <w:tblStyle w:val="TableGrid"/>
        <w:tblW w:w="0" w:type="auto"/>
        <w:tblLook w:val="04A0" w:firstRow="1" w:lastRow="0" w:firstColumn="1" w:lastColumn="0" w:noHBand="0" w:noVBand="1"/>
      </w:tblPr>
      <w:tblGrid>
        <w:gridCol w:w="4675"/>
        <w:gridCol w:w="4675"/>
      </w:tblGrid>
      <w:tr w:rsidR="00894A06" w:rsidRPr="00B91BE0" w14:paraId="3803E37E" w14:textId="77777777" w:rsidTr="00894A06">
        <w:tc>
          <w:tcPr>
            <w:tcW w:w="4675" w:type="dxa"/>
          </w:tcPr>
          <w:p w14:paraId="47B7C2A3" w14:textId="77AC246D" w:rsidR="00894A06" w:rsidRPr="00B91BE0" w:rsidRDefault="00C73B26" w:rsidP="00BB69E8">
            <w:pPr>
              <w:rPr>
                <w:rFonts w:ascii="Garamond" w:hAnsi="Garamond" w:cs="Times New Roman"/>
                <w:color w:val="FF0000"/>
                <w:sz w:val="24"/>
                <w:szCs w:val="24"/>
              </w:rPr>
            </w:pPr>
            <w:r w:rsidRPr="00B91BE0">
              <w:rPr>
                <w:rFonts w:ascii="Garamond" w:hAnsi="Garamond"/>
                <w:sz w:val="24"/>
                <w:szCs w:val="24"/>
              </w:rPr>
              <w:t>Period of Subscription</w:t>
            </w:r>
          </w:p>
        </w:tc>
        <w:tc>
          <w:tcPr>
            <w:tcW w:w="4675" w:type="dxa"/>
          </w:tcPr>
          <w:p w14:paraId="3905125E" w14:textId="77777777" w:rsidR="00894A06" w:rsidRPr="00B91BE0" w:rsidRDefault="00C73B26" w:rsidP="00BB69E8">
            <w:pPr>
              <w:rPr>
                <w:rFonts w:ascii="Garamond" w:hAnsi="Garamond"/>
                <w:sz w:val="24"/>
                <w:szCs w:val="24"/>
              </w:rPr>
            </w:pPr>
            <w:r w:rsidRPr="00B91BE0">
              <w:rPr>
                <w:rFonts w:ascii="Garamond" w:hAnsi="Garamond"/>
                <w:sz w:val="24"/>
                <w:szCs w:val="24"/>
              </w:rPr>
              <w:t>Starts at 10:00 a.m. on May 30, 2021</w:t>
            </w:r>
          </w:p>
          <w:p w14:paraId="6FB2C386" w14:textId="4B2F316D" w:rsidR="00C73B26" w:rsidRPr="00B91BE0" w:rsidRDefault="00C73B26" w:rsidP="00BB69E8">
            <w:pPr>
              <w:rPr>
                <w:rFonts w:ascii="Garamond" w:hAnsi="Garamond" w:cs="Times New Roman"/>
                <w:color w:val="FF0000"/>
                <w:sz w:val="24"/>
                <w:szCs w:val="24"/>
              </w:rPr>
            </w:pPr>
            <w:r w:rsidRPr="00B91BE0">
              <w:rPr>
                <w:rFonts w:ascii="Garamond" w:hAnsi="Garamond"/>
                <w:sz w:val="24"/>
                <w:szCs w:val="24"/>
              </w:rPr>
              <w:t>Closes at 05:30 p.m. on June 03, 2021</w:t>
            </w:r>
          </w:p>
        </w:tc>
      </w:tr>
      <w:tr w:rsidR="00894A06" w:rsidRPr="00B91BE0" w14:paraId="7EB2BA31" w14:textId="77777777" w:rsidTr="00894A06">
        <w:tc>
          <w:tcPr>
            <w:tcW w:w="4675" w:type="dxa"/>
          </w:tcPr>
          <w:p w14:paraId="083B1D56" w14:textId="564D97A3" w:rsidR="00894A06" w:rsidRPr="00B91BE0" w:rsidRDefault="00EA4C14" w:rsidP="00BB69E8">
            <w:pPr>
              <w:rPr>
                <w:rFonts w:ascii="Garamond" w:hAnsi="Garamond" w:cs="Times New Roman"/>
                <w:color w:val="FF0000"/>
                <w:sz w:val="24"/>
                <w:szCs w:val="24"/>
              </w:rPr>
            </w:pPr>
            <w:r>
              <w:rPr>
                <w:rFonts w:ascii="Garamond" w:hAnsi="Garamond"/>
                <w:sz w:val="24"/>
                <w:szCs w:val="24"/>
              </w:rPr>
              <w:t>C</w:t>
            </w:r>
            <w:r w:rsidRPr="00B91BE0">
              <w:rPr>
                <w:rFonts w:ascii="Garamond" w:hAnsi="Garamond"/>
                <w:sz w:val="24"/>
                <w:szCs w:val="24"/>
              </w:rPr>
              <w:t xml:space="preserve">ategory wise lists of the applicants </w:t>
            </w:r>
            <w:r>
              <w:rPr>
                <w:rFonts w:ascii="Garamond" w:hAnsi="Garamond"/>
                <w:sz w:val="24"/>
                <w:szCs w:val="24"/>
              </w:rPr>
              <w:t>shall upload to the ESS</w:t>
            </w:r>
            <w:r w:rsidRPr="00B91BE0">
              <w:rPr>
                <w:rFonts w:ascii="Garamond" w:hAnsi="Garamond"/>
                <w:sz w:val="24"/>
                <w:szCs w:val="24"/>
              </w:rPr>
              <w:t xml:space="preserve"> </w:t>
            </w:r>
            <w:r>
              <w:rPr>
                <w:rFonts w:ascii="Garamond" w:hAnsi="Garamond"/>
                <w:sz w:val="24"/>
                <w:szCs w:val="24"/>
              </w:rPr>
              <w:t>by t</w:t>
            </w:r>
            <w:r w:rsidR="00C73B26" w:rsidRPr="00B91BE0">
              <w:rPr>
                <w:rFonts w:ascii="Garamond" w:hAnsi="Garamond"/>
                <w:sz w:val="24"/>
                <w:szCs w:val="24"/>
              </w:rPr>
              <w:t xml:space="preserve">he registered stockbrokers/ merchant bankers </w:t>
            </w:r>
          </w:p>
        </w:tc>
        <w:tc>
          <w:tcPr>
            <w:tcW w:w="4675" w:type="dxa"/>
          </w:tcPr>
          <w:p w14:paraId="5EE1276F" w14:textId="365A10B5" w:rsidR="00894A06" w:rsidRPr="00B91BE0" w:rsidRDefault="00EA4C14" w:rsidP="00BB69E8">
            <w:pPr>
              <w:rPr>
                <w:rFonts w:ascii="Garamond" w:hAnsi="Garamond" w:cs="Times New Roman"/>
                <w:color w:val="FF0000"/>
                <w:sz w:val="24"/>
                <w:szCs w:val="24"/>
              </w:rPr>
            </w:pPr>
            <w:r>
              <w:rPr>
                <w:rFonts w:ascii="Garamond" w:hAnsi="Garamond"/>
                <w:sz w:val="24"/>
                <w:szCs w:val="24"/>
              </w:rPr>
              <w:t xml:space="preserve">05.30pm on </w:t>
            </w:r>
            <w:r w:rsidR="00C73B26" w:rsidRPr="00B91BE0">
              <w:rPr>
                <w:rFonts w:ascii="Garamond" w:hAnsi="Garamond"/>
                <w:sz w:val="24"/>
                <w:szCs w:val="24"/>
              </w:rPr>
              <w:t>June 08, 2021</w:t>
            </w:r>
          </w:p>
        </w:tc>
      </w:tr>
      <w:tr w:rsidR="00894A06" w:rsidRPr="00B91BE0" w14:paraId="6798E2EC" w14:textId="77777777" w:rsidTr="00894A06">
        <w:tc>
          <w:tcPr>
            <w:tcW w:w="4675" w:type="dxa"/>
          </w:tcPr>
          <w:p w14:paraId="299DE715" w14:textId="5F3CBF24" w:rsidR="00894A06" w:rsidRPr="00B91BE0" w:rsidRDefault="00C73B26" w:rsidP="00BB69E8">
            <w:pPr>
              <w:rPr>
                <w:rFonts w:ascii="Garamond" w:hAnsi="Garamond" w:cs="Times New Roman"/>
                <w:color w:val="FF0000"/>
                <w:sz w:val="24"/>
                <w:szCs w:val="24"/>
              </w:rPr>
            </w:pPr>
            <w:r w:rsidRPr="00B91BE0">
              <w:rPr>
                <w:rFonts w:ascii="Garamond" w:hAnsi="Garamond"/>
                <w:sz w:val="24"/>
                <w:szCs w:val="24"/>
              </w:rPr>
              <w:t>Quota Wise Amount Distribution</w:t>
            </w:r>
          </w:p>
        </w:tc>
        <w:tc>
          <w:tcPr>
            <w:tcW w:w="4675" w:type="dxa"/>
          </w:tcPr>
          <w:p w14:paraId="561E8D72" w14:textId="77777777" w:rsidR="00C73B26" w:rsidRPr="00B91BE0" w:rsidRDefault="00C73B26" w:rsidP="00BB69E8">
            <w:pPr>
              <w:rPr>
                <w:rFonts w:ascii="Garamond" w:hAnsi="Garamond"/>
                <w:sz w:val="24"/>
                <w:szCs w:val="24"/>
              </w:rPr>
            </w:pPr>
            <w:r w:rsidRPr="00B91BE0">
              <w:rPr>
                <w:rFonts w:ascii="Garamond" w:hAnsi="Garamond"/>
                <w:sz w:val="24"/>
                <w:szCs w:val="24"/>
              </w:rPr>
              <w:t xml:space="preserve">General Public Quota: BDT 76,000,000 </w:t>
            </w:r>
          </w:p>
          <w:p w14:paraId="7044DE7B" w14:textId="77777777" w:rsidR="00C73B26" w:rsidRPr="00B91BE0" w:rsidRDefault="00C73B26" w:rsidP="00BB69E8">
            <w:pPr>
              <w:rPr>
                <w:rFonts w:ascii="Garamond" w:hAnsi="Garamond"/>
                <w:sz w:val="24"/>
                <w:szCs w:val="24"/>
              </w:rPr>
            </w:pPr>
            <w:r w:rsidRPr="00B91BE0">
              <w:rPr>
                <w:rFonts w:ascii="Garamond" w:hAnsi="Garamond"/>
                <w:sz w:val="24"/>
                <w:szCs w:val="24"/>
              </w:rPr>
              <w:t xml:space="preserve">ASI Quota: BDT 19,000,000 </w:t>
            </w:r>
          </w:p>
          <w:p w14:paraId="29B6DF15" w14:textId="78F1D352" w:rsidR="00894A06" w:rsidRPr="00B91BE0" w:rsidRDefault="00C73B26" w:rsidP="00BB69E8">
            <w:pPr>
              <w:rPr>
                <w:rFonts w:ascii="Garamond" w:hAnsi="Garamond" w:cs="Times New Roman"/>
                <w:color w:val="FF0000"/>
                <w:sz w:val="24"/>
                <w:szCs w:val="24"/>
              </w:rPr>
            </w:pPr>
            <w:r w:rsidRPr="00B91BE0">
              <w:rPr>
                <w:rFonts w:ascii="Garamond" w:hAnsi="Garamond"/>
                <w:sz w:val="24"/>
                <w:szCs w:val="24"/>
              </w:rPr>
              <w:t>NRB Quota: BDT 19,000,000</w:t>
            </w:r>
          </w:p>
        </w:tc>
      </w:tr>
      <w:tr w:rsidR="00894A06" w:rsidRPr="00B91BE0" w14:paraId="22802295" w14:textId="77777777" w:rsidTr="00894A06">
        <w:tc>
          <w:tcPr>
            <w:tcW w:w="4675" w:type="dxa"/>
          </w:tcPr>
          <w:p w14:paraId="6F465DB6" w14:textId="6EEFBFD0" w:rsidR="00894A06" w:rsidRPr="00B91BE0" w:rsidRDefault="00C73B26" w:rsidP="00BB69E8">
            <w:pPr>
              <w:rPr>
                <w:rFonts w:ascii="Garamond" w:hAnsi="Garamond" w:cs="Times New Roman"/>
                <w:color w:val="FF0000"/>
                <w:sz w:val="24"/>
                <w:szCs w:val="24"/>
              </w:rPr>
            </w:pPr>
            <w:r w:rsidRPr="00B91BE0">
              <w:rPr>
                <w:rFonts w:ascii="Garamond" w:hAnsi="Garamond"/>
                <w:sz w:val="24"/>
                <w:szCs w:val="24"/>
              </w:rPr>
              <w:t>Quota Wise Share Distribution</w:t>
            </w:r>
          </w:p>
        </w:tc>
        <w:tc>
          <w:tcPr>
            <w:tcW w:w="4675" w:type="dxa"/>
          </w:tcPr>
          <w:p w14:paraId="33B32786" w14:textId="77777777" w:rsidR="00B91BE0" w:rsidRDefault="00C73B26" w:rsidP="00BB69E8">
            <w:pPr>
              <w:rPr>
                <w:rFonts w:ascii="Garamond" w:hAnsi="Garamond"/>
                <w:sz w:val="24"/>
                <w:szCs w:val="24"/>
              </w:rPr>
            </w:pPr>
            <w:r w:rsidRPr="00B91BE0">
              <w:rPr>
                <w:rFonts w:ascii="Garamond" w:hAnsi="Garamond"/>
                <w:sz w:val="24"/>
                <w:szCs w:val="24"/>
              </w:rPr>
              <w:t xml:space="preserve">General Public Quota:7,600,000 </w:t>
            </w:r>
          </w:p>
          <w:p w14:paraId="0AC5DBD6" w14:textId="77777777" w:rsidR="00B91BE0" w:rsidRDefault="00C73B26" w:rsidP="00BB69E8">
            <w:pPr>
              <w:rPr>
                <w:rFonts w:ascii="Garamond" w:hAnsi="Garamond"/>
                <w:sz w:val="24"/>
                <w:szCs w:val="24"/>
              </w:rPr>
            </w:pPr>
            <w:r w:rsidRPr="00B91BE0">
              <w:rPr>
                <w:rFonts w:ascii="Garamond" w:hAnsi="Garamond"/>
                <w:sz w:val="24"/>
                <w:szCs w:val="24"/>
              </w:rPr>
              <w:t>ASI Quota: 1,900,000</w:t>
            </w:r>
          </w:p>
          <w:p w14:paraId="7985F11F" w14:textId="383FB7C3" w:rsidR="00894A06" w:rsidRPr="00B91BE0" w:rsidRDefault="00C73B26" w:rsidP="00BB69E8">
            <w:pPr>
              <w:rPr>
                <w:rFonts w:ascii="Garamond" w:hAnsi="Garamond"/>
                <w:sz w:val="24"/>
                <w:szCs w:val="24"/>
              </w:rPr>
            </w:pPr>
            <w:r w:rsidRPr="00B91BE0">
              <w:rPr>
                <w:rFonts w:ascii="Garamond" w:hAnsi="Garamond"/>
                <w:sz w:val="24"/>
                <w:szCs w:val="24"/>
              </w:rPr>
              <w:t>NRB Quota: 1,900,000</w:t>
            </w:r>
          </w:p>
        </w:tc>
      </w:tr>
      <w:tr w:rsidR="00C73B26" w:rsidRPr="00B91BE0" w14:paraId="56DD5130" w14:textId="77777777" w:rsidTr="00894A06">
        <w:tc>
          <w:tcPr>
            <w:tcW w:w="4675" w:type="dxa"/>
          </w:tcPr>
          <w:p w14:paraId="6D3CFCE7" w14:textId="747E113C" w:rsidR="00C73B26" w:rsidRPr="00B91BE0" w:rsidRDefault="00C73B26" w:rsidP="00BB69E8">
            <w:pPr>
              <w:rPr>
                <w:rFonts w:ascii="Garamond" w:hAnsi="Garamond"/>
                <w:sz w:val="24"/>
                <w:szCs w:val="24"/>
              </w:rPr>
            </w:pPr>
            <w:r w:rsidRPr="00B91BE0">
              <w:rPr>
                <w:rFonts w:ascii="Garamond" w:hAnsi="Garamond"/>
                <w:sz w:val="24"/>
                <w:szCs w:val="24"/>
              </w:rPr>
              <w:t>Minimum Investment in the listed securities (matured securities) at market price (the close price of both Exchanges whichever is higher)</w:t>
            </w:r>
          </w:p>
        </w:tc>
        <w:tc>
          <w:tcPr>
            <w:tcW w:w="4675" w:type="dxa"/>
          </w:tcPr>
          <w:p w14:paraId="57BF0986" w14:textId="373760BB" w:rsidR="00C73B26" w:rsidRPr="00B91BE0" w:rsidRDefault="00C73B26" w:rsidP="00BB69E8">
            <w:pPr>
              <w:rPr>
                <w:rFonts w:ascii="Garamond" w:hAnsi="Garamond"/>
                <w:sz w:val="24"/>
                <w:szCs w:val="24"/>
              </w:rPr>
            </w:pPr>
            <w:r w:rsidRPr="00B91BE0">
              <w:rPr>
                <w:rFonts w:ascii="Garamond" w:hAnsi="Garamond"/>
                <w:sz w:val="24"/>
                <w:szCs w:val="24"/>
              </w:rPr>
              <w:t>BDT 20,000</w:t>
            </w:r>
          </w:p>
        </w:tc>
      </w:tr>
      <w:tr w:rsidR="00C73B26" w:rsidRPr="00B91BE0" w14:paraId="018FD217" w14:textId="77777777" w:rsidTr="00894A06">
        <w:tc>
          <w:tcPr>
            <w:tcW w:w="4675" w:type="dxa"/>
          </w:tcPr>
          <w:p w14:paraId="256A357F" w14:textId="74AE7AF8" w:rsidR="00C73B26" w:rsidRPr="00B91BE0" w:rsidRDefault="00C73B26" w:rsidP="00BB69E8">
            <w:pPr>
              <w:rPr>
                <w:rFonts w:ascii="Garamond" w:hAnsi="Garamond"/>
                <w:sz w:val="24"/>
                <w:szCs w:val="24"/>
              </w:rPr>
            </w:pPr>
            <w:r w:rsidRPr="00B91BE0">
              <w:rPr>
                <w:rFonts w:ascii="Garamond" w:hAnsi="Garamond"/>
                <w:sz w:val="24"/>
                <w:szCs w:val="24"/>
              </w:rPr>
              <w:t>Cut-off date for Minimum Investment (At the close price of exchanges)</w:t>
            </w:r>
          </w:p>
        </w:tc>
        <w:tc>
          <w:tcPr>
            <w:tcW w:w="4675" w:type="dxa"/>
          </w:tcPr>
          <w:p w14:paraId="76930766" w14:textId="0A02E4F5" w:rsidR="00C73B26" w:rsidRPr="00B91BE0" w:rsidRDefault="00C73B26" w:rsidP="00BB69E8">
            <w:pPr>
              <w:rPr>
                <w:rFonts w:ascii="Garamond" w:hAnsi="Garamond"/>
                <w:sz w:val="24"/>
                <w:szCs w:val="24"/>
              </w:rPr>
            </w:pPr>
            <w:r w:rsidRPr="00B91BE0">
              <w:rPr>
                <w:rFonts w:ascii="Garamond" w:hAnsi="Garamond"/>
                <w:sz w:val="24"/>
                <w:szCs w:val="24"/>
              </w:rPr>
              <w:t>Wednesday, May 19, 2021</w:t>
            </w:r>
          </w:p>
        </w:tc>
      </w:tr>
      <w:tr w:rsidR="00C73B26" w:rsidRPr="00B91BE0" w14:paraId="6841061D" w14:textId="77777777" w:rsidTr="00894A06">
        <w:tc>
          <w:tcPr>
            <w:tcW w:w="4675" w:type="dxa"/>
          </w:tcPr>
          <w:p w14:paraId="431DBA4A" w14:textId="4B0ADBE9" w:rsidR="00C73B26" w:rsidRPr="00B91BE0" w:rsidRDefault="00C73B26" w:rsidP="00BB69E8">
            <w:pPr>
              <w:rPr>
                <w:rFonts w:ascii="Garamond" w:hAnsi="Garamond"/>
                <w:sz w:val="24"/>
                <w:szCs w:val="24"/>
              </w:rPr>
            </w:pPr>
            <w:r w:rsidRPr="00B91BE0">
              <w:rPr>
                <w:rFonts w:ascii="Garamond" w:hAnsi="Garamond"/>
                <w:sz w:val="24"/>
                <w:szCs w:val="24"/>
              </w:rPr>
              <w:t>Amount allowed for Subscription</w:t>
            </w:r>
          </w:p>
        </w:tc>
        <w:tc>
          <w:tcPr>
            <w:tcW w:w="4675" w:type="dxa"/>
          </w:tcPr>
          <w:p w14:paraId="04BFB16A" w14:textId="470CA047" w:rsidR="00C73B26" w:rsidRPr="00B91BE0" w:rsidRDefault="00C73B26" w:rsidP="00BB69E8">
            <w:pPr>
              <w:rPr>
                <w:rFonts w:ascii="Garamond" w:hAnsi="Garamond"/>
                <w:sz w:val="24"/>
                <w:szCs w:val="24"/>
              </w:rPr>
            </w:pPr>
            <w:r w:rsidRPr="00B91BE0">
              <w:rPr>
                <w:rFonts w:ascii="Garamond" w:hAnsi="Garamond"/>
                <w:sz w:val="24"/>
                <w:szCs w:val="24"/>
              </w:rPr>
              <w:t>Minimum Application Amount Tk. 10,000/- or its multiples not exceeding Tk. 50,000/-</w:t>
            </w:r>
          </w:p>
          <w:p w14:paraId="66806F77" w14:textId="7DD5EF06" w:rsidR="00C73B26" w:rsidRPr="00B91BE0" w:rsidRDefault="00C73B26" w:rsidP="00BB69E8">
            <w:pPr>
              <w:rPr>
                <w:rFonts w:ascii="Garamond" w:hAnsi="Garamond"/>
                <w:sz w:val="24"/>
                <w:szCs w:val="24"/>
              </w:rPr>
            </w:pPr>
          </w:p>
        </w:tc>
      </w:tr>
    </w:tbl>
    <w:p w14:paraId="0E17914E" w14:textId="77777777" w:rsidR="00844215" w:rsidRPr="00C73B26" w:rsidRDefault="00844215" w:rsidP="00BB69E8">
      <w:pPr>
        <w:rPr>
          <w:rFonts w:ascii="Garamond" w:hAnsi="Garamond" w:cs="Times New Roman"/>
          <w:color w:val="FF0000"/>
        </w:rPr>
      </w:pPr>
    </w:p>
    <w:sectPr w:rsidR="00844215" w:rsidRPr="00C73B26" w:rsidSect="00E6697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38EC" w14:textId="77777777" w:rsidR="00352443" w:rsidRDefault="00352443" w:rsidP="00D06126">
      <w:pPr>
        <w:spacing w:after="0" w:line="240" w:lineRule="auto"/>
      </w:pPr>
      <w:r>
        <w:separator/>
      </w:r>
    </w:p>
  </w:endnote>
  <w:endnote w:type="continuationSeparator" w:id="0">
    <w:p w14:paraId="27B8CBF7" w14:textId="77777777" w:rsidR="00352443" w:rsidRDefault="00352443" w:rsidP="00D0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DBC0" w14:textId="77777777" w:rsidR="00352443" w:rsidRDefault="00352443" w:rsidP="00D06126">
      <w:pPr>
        <w:spacing w:after="0" w:line="240" w:lineRule="auto"/>
      </w:pPr>
      <w:r>
        <w:separator/>
      </w:r>
    </w:p>
  </w:footnote>
  <w:footnote w:type="continuationSeparator" w:id="0">
    <w:p w14:paraId="1F2F80A4" w14:textId="77777777" w:rsidR="00352443" w:rsidRDefault="00352443" w:rsidP="00D0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F9E6" w14:textId="003A6F83" w:rsidR="00D06126" w:rsidRDefault="00D06126" w:rsidP="00D061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903AD"/>
    <w:multiLevelType w:val="hybridMultilevel"/>
    <w:tmpl w:val="82F8D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26"/>
    <w:rsid w:val="000059DF"/>
    <w:rsid w:val="00042ACF"/>
    <w:rsid w:val="000478B9"/>
    <w:rsid w:val="00056E57"/>
    <w:rsid w:val="00066477"/>
    <w:rsid w:val="00074F45"/>
    <w:rsid w:val="00086961"/>
    <w:rsid w:val="000874BE"/>
    <w:rsid w:val="000C6008"/>
    <w:rsid w:val="000D0A03"/>
    <w:rsid w:val="000E1378"/>
    <w:rsid w:val="000E485C"/>
    <w:rsid w:val="00112509"/>
    <w:rsid w:val="001303C6"/>
    <w:rsid w:val="0019000D"/>
    <w:rsid w:val="00192E28"/>
    <w:rsid w:val="0019601E"/>
    <w:rsid w:val="0019701D"/>
    <w:rsid w:val="001A4B19"/>
    <w:rsid w:val="001D2E39"/>
    <w:rsid w:val="001E0D9B"/>
    <w:rsid w:val="0022574E"/>
    <w:rsid w:val="0023480B"/>
    <w:rsid w:val="00246398"/>
    <w:rsid w:val="0025109F"/>
    <w:rsid w:val="00284F4D"/>
    <w:rsid w:val="0028673A"/>
    <w:rsid w:val="00295F0A"/>
    <w:rsid w:val="002A6471"/>
    <w:rsid w:val="002A6C89"/>
    <w:rsid w:val="002B0AD4"/>
    <w:rsid w:val="002B28F4"/>
    <w:rsid w:val="002B722E"/>
    <w:rsid w:val="002C3CC1"/>
    <w:rsid w:val="002D4E47"/>
    <w:rsid w:val="002F1672"/>
    <w:rsid w:val="002F3E93"/>
    <w:rsid w:val="003047BC"/>
    <w:rsid w:val="003064EA"/>
    <w:rsid w:val="003154CB"/>
    <w:rsid w:val="0034276C"/>
    <w:rsid w:val="00352443"/>
    <w:rsid w:val="00385BAF"/>
    <w:rsid w:val="003906B8"/>
    <w:rsid w:val="003A37B3"/>
    <w:rsid w:val="003E187B"/>
    <w:rsid w:val="003E617C"/>
    <w:rsid w:val="003F4CCD"/>
    <w:rsid w:val="00405BDB"/>
    <w:rsid w:val="00411C1E"/>
    <w:rsid w:val="004372F7"/>
    <w:rsid w:val="0046123A"/>
    <w:rsid w:val="00461DB0"/>
    <w:rsid w:val="004A22C6"/>
    <w:rsid w:val="004A32BF"/>
    <w:rsid w:val="004C7A34"/>
    <w:rsid w:val="004E0A66"/>
    <w:rsid w:val="004E436A"/>
    <w:rsid w:val="004F7E23"/>
    <w:rsid w:val="0050427F"/>
    <w:rsid w:val="00515AF1"/>
    <w:rsid w:val="00540989"/>
    <w:rsid w:val="00561F28"/>
    <w:rsid w:val="00565B10"/>
    <w:rsid w:val="005760E7"/>
    <w:rsid w:val="0059452C"/>
    <w:rsid w:val="00595E27"/>
    <w:rsid w:val="005B0C6C"/>
    <w:rsid w:val="005B5622"/>
    <w:rsid w:val="005B76FD"/>
    <w:rsid w:val="00602842"/>
    <w:rsid w:val="00612B4B"/>
    <w:rsid w:val="006249A8"/>
    <w:rsid w:val="00635FCE"/>
    <w:rsid w:val="00666F6C"/>
    <w:rsid w:val="00670DBF"/>
    <w:rsid w:val="00690EA8"/>
    <w:rsid w:val="006B59B1"/>
    <w:rsid w:val="006C07B8"/>
    <w:rsid w:val="006C590F"/>
    <w:rsid w:val="006D406A"/>
    <w:rsid w:val="006F2B2A"/>
    <w:rsid w:val="0070252C"/>
    <w:rsid w:val="0071635C"/>
    <w:rsid w:val="00733C6A"/>
    <w:rsid w:val="00741B7F"/>
    <w:rsid w:val="0079008F"/>
    <w:rsid w:val="007A694A"/>
    <w:rsid w:val="007C15B2"/>
    <w:rsid w:val="007C6139"/>
    <w:rsid w:val="007D0B1C"/>
    <w:rsid w:val="007F26F3"/>
    <w:rsid w:val="007F40D2"/>
    <w:rsid w:val="007F6D37"/>
    <w:rsid w:val="007F6E17"/>
    <w:rsid w:val="0081334F"/>
    <w:rsid w:val="00814213"/>
    <w:rsid w:val="00825E80"/>
    <w:rsid w:val="00835952"/>
    <w:rsid w:val="00844215"/>
    <w:rsid w:val="008578EF"/>
    <w:rsid w:val="0086141D"/>
    <w:rsid w:val="008645BB"/>
    <w:rsid w:val="00865EC6"/>
    <w:rsid w:val="008672B2"/>
    <w:rsid w:val="00883772"/>
    <w:rsid w:val="0089321A"/>
    <w:rsid w:val="00894A06"/>
    <w:rsid w:val="008A2DBD"/>
    <w:rsid w:val="00906804"/>
    <w:rsid w:val="00921076"/>
    <w:rsid w:val="009358AF"/>
    <w:rsid w:val="00951997"/>
    <w:rsid w:val="00956988"/>
    <w:rsid w:val="009B6927"/>
    <w:rsid w:val="00A07871"/>
    <w:rsid w:val="00A56A7D"/>
    <w:rsid w:val="00A639D1"/>
    <w:rsid w:val="00A92F3F"/>
    <w:rsid w:val="00A97561"/>
    <w:rsid w:val="00AA2610"/>
    <w:rsid w:val="00AA335E"/>
    <w:rsid w:val="00AB6BFE"/>
    <w:rsid w:val="00AD347E"/>
    <w:rsid w:val="00AE5C36"/>
    <w:rsid w:val="00AF027B"/>
    <w:rsid w:val="00B2064D"/>
    <w:rsid w:val="00B33EE5"/>
    <w:rsid w:val="00B3411C"/>
    <w:rsid w:val="00B36797"/>
    <w:rsid w:val="00B91BE0"/>
    <w:rsid w:val="00BB14A0"/>
    <w:rsid w:val="00BB69E8"/>
    <w:rsid w:val="00C00A11"/>
    <w:rsid w:val="00C0350C"/>
    <w:rsid w:val="00C06DA2"/>
    <w:rsid w:val="00C07C2C"/>
    <w:rsid w:val="00C45C25"/>
    <w:rsid w:val="00C5364E"/>
    <w:rsid w:val="00C542EA"/>
    <w:rsid w:val="00C73B26"/>
    <w:rsid w:val="00C94110"/>
    <w:rsid w:val="00CB0F62"/>
    <w:rsid w:val="00CD0A06"/>
    <w:rsid w:val="00CD2521"/>
    <w:rsid w:val="00CD7BB6"/>
    <w:rsid w:val="00CF41C3"/>
    <w:rsid w:val="00D04BEB"/>
    <w:rsid w:val="00D06126"/>
    <w:rsid w:val="00D32CDB"/>
    <w:rsid w:val="00D42051"/>
    <w:rsid w:val="00D50AFB"/>
    <w:rsid w:val="00D70FF1"/>
    <w:rsid w:val="00D81D4B"/>
    <w:rsid w:val="00D81FC0"/>
    <w:rsid w:val="00DF5716"/>
    <w:rsid w:val="00DF7218"/>
    <w:rsid w:val="00E04BB4"/>
    <w:rsid w:val="00E166B1"/>
    <w:rsid w:val="00E20E7A"/>
    <w:rsid w:val="00E51F47"/>
    <w:rsid w:val="00E66973"/>
    <w:rsid w:val="00E72115"/>
    <w:rsid w:val="00E853E7"/>
    <w:rsid w:val="00E9761E"/>
    <w:rsid w:val="00EA4C14"/>
    <w:rsid w:val="00EB379E"/>
    <w:rsid w:val="00EC77BE"/>
    <w:rsid w:val="00EE5BDC"/>
    <w:rsid w:val="00F00D4A"/>
    <w:rsid w:val="00F158F3"/>
    <w:rsid w:val="00F63362"/>
    <w:rsid w:val="00F64CF0"/>
    <w:rsid w:val="00F733FD"/>
    <w:rsid w:val="00F80785"/>
    <w:rsid w:val="00F82C3A"/>
    <w:rsid w:val="00F857F3"/>
    <w:rsid w:val="00FB45C7"/>
    <w:rsid w:val="00FC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09FD"/>
  <w15:docId w15:val="{E950A42F-BC89-4B17-BFCE-C80505CC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0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126"/>
  </w:style>
  <w:style w:type="paragraph" w:styleId="Footer">
    <w:name w:val="footer"/>
    <w:basedOn w:val="Normal"/>
    <w:link w:val="FooterChar"/>
    <w:uiPriority w:val="99"/>
    <w:unhideWhenUsed/>
    <w:rsid w:val="00D0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126"/>
  </w:style>
  <w:style w:type="paragraph" w:styleId="ListParagraph">
    <w:name w:val="List Paragraph"/>
    <w:basedOn w:val="Normal"/>
    <w:uiPriority w:val="34"/>
    <w:qFormat/>
    <w:rsid w:val="00612B4B"/>
    <w:pPr>
      <w:ind w:left="720"/>
      <w:contextualSpacing/>
    </w:pPr>
  </w:style>
  <w:style w:type="paragraph" w:styleId="BalloonText">
    <w:name w:val="Balloon Text"/>
    <w:basedOn w:val="Normal"/>
    <w:link w:val="BalloonTextChar"/>
    <w:uiPriority w:val="99"/>
    <w:semiHidden/>
    <w:unhideWhenUsed/>
    <w:rsid w:val="002F1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72"/>
    <w:rPr>
      <w:rFonts w:ascii="Segoe UI" w:hAnsi="Segoe UI" w:cs="Segoe UI"/>
      <w:sz w:val="18"/>
      <w:szCs w:val="18"/>
    </w:rPr>
  </w:style>
  <w:style w:type="character" w:styleId="Hyperlink">
    <w:name w:val="Hyperlink"/>
    <w:basedOn w:val="DefaultParagraphFont"/>
    <w:uiPriority w:val="99"/>
    <w:unhideWhenUsed/>
    <w:rsid w:val="00F733FD"/>
    <w:rPr>
      <w:color w:val="0000FF" w:themeColor="hyperlink"/>
      <w:u w:val="single"/>
    </w:rPr>
  </w:style>
  <w:style w:type="character" w:styleId="UnresolvedMention">
    <w:name w:val="Unresolved Mention"/>
    <w:basedOn w:val="DefaultParagraphFont"/>
    <w:uiPriority w:val="99"/>
    <w:semiHidden/>
    <w:unhideWhenUsed/>
    <w:rsid w:val="00F733FD"/>
    <w:rPr>
      <w:color w:val="605E5C"/>
      <w:shd w:val="clear" w:color="auto" w:fill="E1DFDD"/>
    </w:rPr>
  </w:style>
  <w:style w:type="table" w:styleId="GridTable1Light">
    <w:name w:val="Grid Table 1 Light"/>
    <w:basedOn w:val="TableNormal"/>
    <w:uiPriority w:val="46"/>
    <w:rsid w:val="00F158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8464">
      <w:bodyDiv w:val="1"/>
      <w:marLeft w:val="0"/>
      <w:marRight w:val="0"/>
      <w:marTop w:val="0"/>
      <w:marBottom w:val="0"/>
      <w:divBdr>
        <w:top w:val="none" w:sz="0" w:space="0" w:color="auto"/>
        <w:left w:val="none" w:sz="0" w:space="0" w:color="auto"/>
        <w:bottom w:val="none" w:sz="0" w:space="0" w:color="auto"/>
        <w:right w:val="none" w:sz="0" w:space="0" w:color="auto"/>
      </w:divBdr>
      <w:divsChild>
        <w:div w:id="554395206">
          <w:marLeft w:val="0"/>
          <w:marRight w:val="0"/>
          <w:marTop w:val="0"/>
          <w:marBottom w:val="0"/>
          <w:divBdr>
            <w:top w:val="none" w:sz="0" w:space="0" w:color="auto"/>
            <w:left w:val="none" w:sz="0" w:space="0" w:color="auto"/>
            <w:bottom w:val="none" w:sz="0" w:space="0" w:color="auto"/>
            <w:right w:val="none" w:sz="0" w:space="0" w:color="auto"/>
          </w:divBdr>
        </w:div>
        <w:div w:id="654264211">
          <w:marLeft w:val="0"/>
          <w:marRight w:val="0"/>
          <w:marTop w:val="0"/>
          <w:marBottom w:val="0"/>
          <w:divBdr>
            <w:top w:val="none" w:sz="0" w:space="0" w:color="auto"/>
            <w:left w:val="none" w:sz="0" w:space="0" w:color="auto"/>
            <w:bottom w:val="none" w:sz="0" w:space="0" w:color="auto"/>
            <w:right w:val="none" w:sz="0" w:space="0" w:color="auto"/>
          </w:divBdr>
        </w:div>
        <w:div w:id="2069183161">
          <w:marLeft w:val="0"/>
          <w:marRight w:val="0"/>
          <w:marTop w:val="0"/>
          <w:marBottom w:val="0"/>
          <w:divBdr>
            <w:top w:val="none" w:sz="0" w:space="0" w:color="auto"/>
            <w:left w:val="none" w:sz="0" w:space="0" w:color="auto"/>
            <w:bottom w:val="none" w:sz="0" w:space="0" w:color="auto"/>
            <w:right w:val="none" w:sz="0" w:space="0" w:color="auto"/>
          </w:divBdr>
        </w:div>
        <w:div w:id="1681003254">
          <w:marLeft w:val="0"/>
          <w:marRight w:val="0"/>
          <w:marTop w:val="0"/>
          <w:marBottom w:val="0"/>
          <w:divBdr>
            <w:top w:val="none" w:sz="0" w:space="0" w:color="auto"/>
            <w:left w:val="none" w:sz="0" w:space="0" w:color="auto"/>
            <w:bottom w:val="none" w:sz="0" w:space="0" w:color="auto"/>
            <w:right w:val="none" w:sz="0" w:space="0" w:color="auto"/>
          </w:divBdr>
        </w:div>
      </w:divsChild>
    </w:div>
    <w:div w:id="315182993">
      <w:bodyDiv w:val="1"/>
      <w:marLeft w:val="0"/>
      <w:marRight w:val="0"/>
      <w:marTop w:val="0"/>
      <w:marBottom w:val="0"/>
      <w:divBdr>
        <w:top w:val="none" w:sz="0" w:space="0" w:color="auto"/>
        <w:left w:val="none" w:sz="0" w:space="0" w:color="auto"/>
        <w:bottom w:val="none" w:sz="0" w:space="0" w:color="auto"/>
        <w:right w:val="none" w:sz="0" w:space="0" w:color="auto"/>
      </w:divBdr>
      <w:divsChild>
        <w:div w:id="1665166611">
          <w:marLeft w:val="0"/>
          <w:marRight w:val="0"/>
          <w:marTop w:val="0"/>
          <w:marBottom w:val="0"/>
          <w:divBdr>
            <w:top w:val="none" w:sz="0" w:space="0" w:color="auto"/>
            <w:left w:val="none" w:sz="0" w:space="0" w:color="auto"/>
            <w:bottom w:val="none" w:sz="0" w:space="0" w:color="auto"/>
            <w:right w:val="none" w:sz="0" w:space="0" w:color="auto"/>
          </w:divBdr>
        </w:div>
        <w:div w:id="721904389">
          <w:marLeft w:val="0"/>
          <w:marRight w:val="0"/>
          <w:marTop w:val="0"/>
          <w:marBottom w:val="0"/>
          <w:divBdr>
            <w:top w:val="none" w:sz="0" w:space="0" w:color="auto"/>
            <w:left w:val="none" w:sz="0" w:space="0" w:color="auto"/>
            <w:bottom w:val="none" w:sz="0" w:space="0" w:color="auto"/>
            <w:right w:val="none" w:sz="0" w:space="0" w:color="auto"/>
          </w:divBdr>
        </w:div>
        <w:div w:id="1387341105">
          <w:marLeft w:val="0"/>
          <w:marRight w:val="0"/>
          <w:marTop w:val="0"/>
          <w:marBottom w:val="0"/>
          <w:divBdr>
            <w:top w:val="none" w:sz="0" w:space="0" w:color="auto"/>
            <w:left w:val="none" w:sz="0" w:space="0" w:color="auto"/>
            <w:bottom w:val="none" w:sz="0" w:space="0" w:color="auto"/>
            <w:right w:val="none" w:sz="0" w:space="0" w:color="auto"/>
          </w:divBdr>
        </w:div>
        <w:div w:id="1321621110">
          <w:marLeft w:val="0"/>
          <w:marRight w:val="0"/>
          <w:marTop w:val="0"/>
          <w:marBottom w:val="0"/>
          <w:divBdr>
            <w:top w:val="none" w:sz="0" w:space="0" w:color="auto"/>
            <w:left w:val="none" w:sz="0" w:space="0" w:color="auto"/>
            <w:bottom w:val="none" w:sz="0" w:space="0" w:color="auto"/>
            <w:right w:val="none" w:sz="0" w:space="0" w:color="auto"/>
          </w:divBdr>
        </w:div>
        <w:div w:id="50809486">
          <w:marLeft w:val="0"/>
          <w:marRight w:val="0"/>
          <w:marTop w:val="0"/>
          <w:marBottom w:val="0"/>
          <w:divBdr>
            <w:top w:val="none" w:sz="0" w:space="0" w:color="auto"/>
            <w:left w:val="none" w:sz="0" w:space="0" w:color="auto"/>
            <w:bottom w:val="none" w:sz="0" w:space="0" w:color="auto"/>
            <w:right w:val="none" w:sz="0" w:space="0" w:color="auto"/>
          </w:divBdr>
        </w:div>
        <w:div w:id="1245408261">
          <w:marLeft w:val="0"/>
          <w:marRight w:val="0"/>
          <w:marTop w:val="0"/>
          <w:marBottom w:val="0"/>
          <w:divBdr>
            <w:top w:val="none" w:sz="0" w:space="0" w:color="auto"/>
            <w:left w:val="none" w:sz="0" w:space="0" w:color="auto"/>
            <w:bottom w:val="none" w:sz="0" w:space="0" w:color="auto"/>
            <w:right w:val="none" w:sz="0" w:space="0" w:color="auto"/>
          </w:divBdr>
        </w:div>
      </w:divsChild>
    </w:div>
    <w:div w:id="375198108">
      <w:bodyDiv w:val="1"/>
      <w:marLeft w:val="0"/>
      <w:marRight w:val="0"/>
      <w:marTop w:val="0"/>
      <w:marBottom w:val="0"/>
      <w:divBdr>
        <w:top w:val="none" w:sz="0" w:space="0" w:color="auto"/>
        <w:left w:val="none" w:sz="0" w:space="0" w:color="auto"/>
        <w:bottom w:val="none" w:sz="0" w:space="0" w:color="auto"/>
        <w:right w:val="none" w:sz="0" w:space="0" w:color="auto"/>
      </w:divBdr>
      <w:divsChild>
        <w:div w:id="637497799">
          <w:marLeft w:val="0"/>
          <w:marRight w:val="0"/>
          <w:marTop w:val="0"/>
          <w:marBottom w:val="0"/>
          <w:divBdr>
            <w:top w:val="none" w:sz="0" w:space="0" w:color="auto"/>
            <w:left w:val="none" w:sz="0" w:space="0" w:color="auto"/>
            <w:bottom w:val="none" w:sz="0" w:space="0" w:color="auto"/>
            <w:right w:val="none" w:sz="0" w:space="0" w:color="auto"/>
          </w:divBdr>
        </w:div>
      </w:divsChild>
    </w:div>
    <w:div w:id="1919361952">
      <w:bodyDiv w:val="1"/>
      <w:marLeft w:val="0"/>
      <w:marRight w:val="0"/>
      <w:marTop w:val="0"/>
      <w:marBottom w:val="0"/>
      <w:divBdr>
        <w:top w:val="none" w:sz="0" w:space="0" w:color="auto"/>
        <w:left w:val="none" w:sz="0" w:space="0" w:color="auto"/>
        <w:bottom w:val="none" w:sz="0" w:space="0" w:color="auto"/>
        <w:right w:val="none" w:sz="0" w:space="0" w:color="auto"/>
      </w:divBdr>
      <w:divsChild>
        <w:div w:id="1427576850">
          <w:marLeft w:val="0"/>
          <w:marRight w:val="0"/>
          <w:marTop w:val="0"/>
          <w:marBottom w:val="0"/>
          <w:divBdr>
            <w:top w:val="none" w:sz="0" w:space="0" w:color="auto"/>
            <w:left w:val="none" w:sz="0" w:space="0" w:color="auto"/>
            <w:bottom w:val="none" w:sz="0" w:space="0" w:color="auto"/>
            <w:right w:val="none" w:sz="0" w:space="0" w:color="auto"/>
          </w:divBdr>
        </w:div>
        <w:div w:id="109250216">
          <w:marLeft w:val="0"/>
          <w:marRight w:val="0"/>
          <w:marTop w:val="0"/>
          <w:marBottom w:val="0"/>
          <w:divBdr>
            <w:top w:val="none" w:sz="0" w:space="0" w:color="auto"/>
            <w:left w:val="none" w:sz="0" w:space="0" w:color="auto"/>
            <w:bottom w:val="none" w:sz="0" w:space="0" w:color="auto"/>
            <w:right w:val="none" w:sz="0" w:space="0" w:color="auto"/>
          </w:divBdr>
        </w:div>
        <w:div w:id="183140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dc:creator>
  <cp:lastModifiedBy>User</cp:lastModifiedBy>
  <cp:revision>8</cp:revision>
  <cp:lastPrinted>2021-05-30T06:02:00Z</cp:lastPrinted>
  <dcterms:created xsi:type="dcterms:W3CDTF">2021-05-27T09:03:00Z</dcterms:created>
  <dcterms:modified xsi:type="dcterms:W3CDTF">2021-05-30T06:25:00Z</dcterms:modified>
</cp:coreProperties>
</file>