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283"/>
        <w:gridCol w:w="6509"/>
      </w:tblGrid>
      <w:tr w:rsidR="006C07B8" w:rsidRPr="00666F6C" w14:paraId="5927FEC1" w14:textId="77777777" w:rsidTr="00385BAF">
        <w:trPr>
          <w:trHeight w:val="639"/>
        </w:trPr>
        <w:tc>
          <w:tcPr>
            <w:tcW w:w="4225" w:type="dxa"/>
          </w:tcPr>
          <w:p w14:paraId="1D1B1BC9" w14:textId="77777777" w:rsidR="006C07B8" w:rsidRPr="00666F6C" w:rsidRDefault="006C07B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Address</w:t>
            </w:r>
          </w:p>
        </w:tc>
        <w:tc>
          <w:tcPr>
            <w:tcW w:w="5567" w:type="dxa"/>
          </w:tcPr>
          <w:p w14:paraId="4C5C3F62" w14:textId="025054DA" w:rsidR="00385BAF" w:rsidRDefault="00F733FD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Reg.</w:t>
            </w:r>
            <w:r w:rsidR="00CF41C3">
              <w:rPr>
                <w:rFonts w:cstheme="minorHAnsi"/>
                <w:sz w:val="26"/>
                <w:szCs w:val="26"/>
              </w:rPr>
              <w:t xml:space="preserve"> </w:t>
            </w:r>
            <w:r w:rsidR="00392639">
              <w:rPr>
                <w:rFonts w:cstheme="minorHAnsi"/>
                <w:sz w:val="26"/>
                <w:szCs w:val="26"/>
              </w:rPr>
              <w:t>&amp; Corporate Office</w:t>
            </w:r>
            <w:r w:rsidR="00CF41C3">
              <w:rPr>
                <w:rFonts w:cstheme="minorHAnsi"/>
                <w:sz w:val="26"/>
                <w:szCs w:val="26"/>
              </w:rPr>
              <w:t xml:space="preserve">: </w:t>
            </w:r>
            <w:r w:rsidR="00392639">
              <w:rPr>
                <w:rFonts w:cstheme="minorHAnsi"/>
                <w:sz w:val="26"/>
                <w:szCs w:val="26"/>
              </w:rPr>
              <w:t>138/1, Tejgaon</w:t>
            </w:r>
            <w:r w:rsidR="00985975">
              <w:rPr>
                <w:rFonts w:cstheme="minorHAnsi"/>
                <w:sz w:val="26"/>
                <w:szCs w:val="26"/>
              </w:rPr>
              <w:t xml:space="preserve"> I/A</w:t>
            </w:r>
            <w:r w:rsidR="00392639">
              <w:rPr>
                <w:rFonts w:cstheme="minorHAnsi"/>
                <w:sz w:val="26"/>
                <w:szCs w:val="26"/>
              </w:rPr>
              <w:t xml:space="preserve">, Dhaka 1208, Factory: </w:t>
            </w:r>
            <w:proofErr w:type="spellStart"/>
            <w:r w:rsidR="00392639">
              <w:rPr>
                <w:rFonts w:cstheme="minorHAnsi"/>
                <w:sz w:val="26"/>
                <w:szCs w:val="26"/>
              </w:rPr>
              <w:t>Borochala</w:t>
            </w:r>
            <w:proofErr w:type="spellEnd"/>
            <w:r w:rsidR="00392639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="00392639">
              <w:rPr>
                <w:rFonts w:cstheme="minorHAnsi"/>
                <w:sz w:val="26"/>
                <w:szCs w:val="26"/>
              </w:rPr>
              <w:t>Paragaon</w:t>
            </w:r>
            <w:proofErr w:type="spellEnd"/>
            <w:r w:rsidR="00392639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="00392639">
              <w:rPr>
                <w:rFonts w:cstheme="minorHAnsi"/>
                <w:sz w:val="26"/>
                <w:szCs w:val="26"/>
              </w:rPr>
              <w:t>Bhaluka</w:t>
            </w:r>
            <w:proofErr w:type="spellEnd"/>
            <w:r w:rsidR="00392639">
              <w:rPr>
                <w:rFonts w:cstheme="minorHAnsi"/>
                <w:sz w:val="26"/>
                <w:szCs w:val="26"/>
              </w:rPr>
              <w:t xml:space="preserve">, Mymensingh, </w:t>
            </w:r>
            <w:r w:rsidR="00CF41C3">
              <w:rPr>
                <w:rFonts w:cstheme="minorHAnsi"/>
                <w:sz w:val="26"/>
                <w:szCs w:val="26"/>
              </w:rPr>
              <w:t xml:space="preserve"> </w:t>
            </w:r>
            <w:hyperlink r:id="rId7" w:history="1">
              <w:r w:rsidR="007F6D37" w:rsidRPr="007F6D37">
                <w:rPr>
                  <w:rFonts w:cstheme="minorHAnsi"/>
                  <w:sz w:val="26"/>
                  <w:szCs w:val="26"/>
                </w:rPr>
                <w:t>Tel:</w:t>
              </w:r>
              <w:r w:rsidR="00392639">
                <w:rPr>
                  <w:rFonts w:cstheme="minorHAnsi"/>
                  <w:sz w:val="26"/>
                  <w:szCs w:val="26"/>
                </w:rPr>
                <w:t xml:space="preserve"> </w:t>
              </w:r>
            </w:hyperlink>
            <w:proofErr w:type="gramStart"/>
            <w:r w:rsidR="00392639">
              <w:rPr>
                <w:rFonts w:cstheme="minorHAnsi"/>
                <w:sz w:val="26"/>
                <w:szCs w:val="26"/>
              </w:rPr>
              <w:t>8870160</w:t>
            </w:r>
            <w:r w:rsidR="006C07B8">
              <w:rPr>
                <w:rFonts w:cstheme="minorHAnsi"/>
                <w:sz w:val="26"/>
                <w:szCs w:val="26"/>
              </w:rPr>
              <w:t>,Fax</w:t>
            </w:r>
            <w:proofErr w:type="gramEnd"/>
            <w:r w:rsidR="006C07B8">
              <w:rPr>
                <w:rFonts w:cstheme="minorHAnsi"/>
                <w:sz w:val="26"/>
                <w:szCs w:val="26"/>
              </w:rPr>
              <w:t>:+</w:t>
            </w:r>
            <w:r w:rsidR="00C0350C">
              <w:rPr>
                <w:rFonts w:cstheme="minorHAnsi"/>
                <w:sz w:val="26"/>
                <w:szCs w:val="26"/>
              </w:rPr>
              <w:t>88</w:t>
            </w:r>
            <w:r w:rsidR="00392639">
              <w:rPr>
                <w:rFonts w:cstheme="minorHAnsi"/>
                <w:sz w:val="26"/>
                <w:szCs w:val="26"/>
              </w:rPr>
              <w:t>70164,8870174</w:t>
            </w:r>
            <w:r w:rsidR="00C0350C">
              <w:rPr>
                <w:rFonts w:cstheme="minorHAnsi"/>
                <w:sz w:val="26"/>
                <w:szCs w:val="26"/>
              </w:rPr>
              <w:t>, email:</w:t>
            </w:r>
            <w:r w:rsidR="000267E1">
              <w:rPr>
                <w:rFonts w:cstheme="minorHAnsi"/>
                <w:sz w:val="26"/>
                <w:szCs w:val="26"/>
              </w:rPr>
              <w:t>nazrul</w:t>
            </w:r>
            <w:r w:rsidR="007F6D37" w:rsidRPr="007F6D37">
              <w:rPr>
                <w:rFonts w:cstheme="minorHAnsi"/>
                <w:sz w:val="26"/>
                <w:szCs w:val="26"/>
              </w:rPr>
              <w:t>@</w:t>
            </w:r>
            <w:r w:rsidR="000267E1">
              <w:rPr>
                <w:rFonts w:cstheme="minorHAnsi"/>
                <w:sz w:val="26"/>
                <w:szCs w:val="26"/>
              </w:rPr>
              <w:t>runnerbd.com</w:t>
            </w:r>
            <w:r w:rsidR="007F6D37" w:rsidRPr="007F6D37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3405AF6F" w14:textId="5D91D13F" w:rsidR="006C07B8" w:rsidRPr="00666F6C" w:rsidRDefault="00CF41C3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web: www.</w:t>
            </w:r>
            <w:r w:rsidR="00392639">
              <w:rPr>
                <w:rFonts w:cstheme="minorHAnsi"/>
                <w:sz w:val="26"/>
                <w:szCs w:val="26"/>
              </w:rPr>
              <w:t>runnerbd.com</w:t>
            </w:r>
          </w:p>
        </w:tc>
      </w:tr>
      <w:tr w:rsidR="00475534" w:rsidRPr="00475534" w14:paraId="0523BB2B" w14:textId="77777777" w:rsidTr="00385BAF">
        <w:trPr>
          <w:trHeight w:val="639"/>
        </w:trPr>
        <w:tc>
          <w:tcPr>
            <w:tcW w:w="4225" w:type="dxa"/>
          </w:tcPr>
          <w:p w14:paraId="6E650C40" w14:textId="77777777" w:rsidR="00D06126" w:rsidRPr="00475534" w:rsidRDefault="00D06126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Nature of Business</w:t>
            </w:r>
          </w:p>
        </w:tc>
        <w:tc>
          <w:tcPr>
            <w:tcW w:w="5567" w:type="dxa"/>
          </w:tcPr>
          <w:p w14:paraId="3593E0CC" w14:textId="1D45B35D" w:rsidR="00D06126" w:rsidRPr="00475534" w:rsidRDefault="000267E1" w:rsidP="00EE5BDC">
            <w:pPr>
              <w:jc w:val="both"/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Runner Automobiles Ltd., is selling the highest quantity of motorcycles in the domestic and overseas market as a manufacturer in Bangladesh. </w:t>
            </w:r>
            <w:r w:rsidR="00B67280" w:rsidRPr="00475534">
              <w:rPr>
                <w:rFonts w:cstheme="minorHAnsi"/>
                <w:sz w:val="26"/>
                <w:szCs w:val="26"/>
              </w:rPr>
              <w:t xml:space="preserve">The company’s product, with the production capacity of 500 motorcycles per day, cover 06 series of motorcycles ranging from 50 cc to 150 cc and about 15 models of motorcycles </w:t>
            </w:r>
            <w:r w:rsidR="00985975">
              <w:rPr>
                <w:rFonts w:cstheme="minorHAnsi"/>
                <w:sz w:val="26"/>
                <w:szCs w:val="26"/>
              </w:rPr>
              <w:t>including</w:t>
            </w:r>
            <w:r w:rsidR="00B67280" w:rsidRPr="00475534">
              <w:rPr>
                <w:rFonts w:cstheme="minorHAnsi"/>
                <w:sz w:val="26"/>
                <w:szCs w:val="26"/>
              </w:rPr>
              <w:t xml:space="preserve"> two model of three-wheeler (limited quantity). The company is also a distributor of Bajaj Autos Ltd. of India.</w:t>
            </w:r>
            <w:r w:rsidR="00EE5BDC" w:rsidRPr="0047553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475534" w:rsidRPr="00475534" w14:paraId="01B8E1EE" w14:textId="77777777" w:rsidTr="00385BAF">
        <w:trPr>
          <w:trHeight w:val="449"/>
        </w:trPr>
        <w:tc>
          <w:tcPr>
            <w:tcW w:w="4225" w:type="dxa"/>
          </w:tcPr>
          <w:p w14:paraId="46D017EB" w14:textId="77777777" w:rsidR="00D06126" w:rsidRPr="00475534" w:rsidRDefault="00D06126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Major Products</w:t>
            </w:r>
          </w:p>
        </w:tc>
        <w:tc>
          <w:tcPr>
            <w:tcW w:w="5567" w:type="dxa"/>
          </w:tcPr>
          <w:p w14:paraId="38326E29" w14:textId="1E973102" w:rsidR="00612B4B" w:rsidRPr="00475534" w:rsidRDefault="00B67280" w:rsidP="006D406A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The principal product of the Company is </w:t>
            </w:r>
            <w:proofErr w:type="gramStart"/>
            <w:r w:rsidRPr="00475534">
              <w:rPr>
                <w:rFonts w:cstheme="minorHAnsi"/>
                <w:sz w:val="26"/>
                <w:szCs w:val="26"/>
              </w:rPr>
              <w:t>2 Wheeler</w:t>
            </w:r>
            <w:proofErr w:type="gramEnd"/>
            <w:r w:rsidRPr="00475534">
              <w:rPr>
                <w:rFonts w:cstheme="minorHAnsi"/>
                <w:sz w:val="26"/>
                <w:szCs w:val="26"/>
              </w:rPr>
              <w:t xml:space="preserve"> &amp; 3 Wheeler.</w:t>
            </w:r>
          </w:p>
        </w:tc>
      </w:tr>
      <w:tr w:rsidR="00475534" w:rsidRPr="00475534" w14:paraId="291E5762" w14:textId="77777777" w:rsidTr="00385BAF">
        <w:trPr>
          <w:trHeight w:val="326"/>
        </w:trPr>
        <w:tc>
          <w:tcPr>
            <w:tcW w:w="4225" w:type="dxa"/>
          </w:tcPr>
          <w:p w14:paraId="2CC0226E" w14:textId="77777777" w:rsidR="00D06126" w:rsidRPr="00475534" w:rsidRDefault="00612B4B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Market for the products</w:t>
            </w:r>
          </w:p>
        </w:tc>
        <w:tc>
          <w:tcPr>
            <w:tcW w:w="5567" w:type="dxa"/>
          </w:tcPr>
          <w:p w14:paraId="61F5ADED" w14:textId="471205FA" w:rsidR="00D06126" w:rsidRPr="00475534" w:rsidRDefault="00B67280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Local &amp; </w:t>
            </w:r>
            <w:r w:rsidR="00074F45" w:rsidRPr="00475534">
              <w:rPr>
                <w:rFonts w:cstheme="minorHAnsi"/>
                <w:sz w:val="26"/>
                <w:szCs w:val="26"/>
              </w:rPr>
              <w:t>Foreign</w:t>
            </w:r>
            <w:r w:rsidR="00EE5BDC" w:rsidRPr="00475534">
              <w:rPr>
                <w:rFonts w:cstheme="minorHAnsi"/>
                <w:sz w:val="26"/>
                <w:szCs w:val="26"/>
              </w:rPr>
              <w:t xml:space="preserve"> Market  </w:t>
            </w:r>
          </w:p>
        </w:tc>
      </w:tr>
      <w:tr w:rsidR="00475534" w:rsidRPr="00475534" w14:paraId="35326890" w14:textId="77777777" w:rsidTr="00385BAF">
        <w:trPr>
          <w:trHeight w:val="326"/>
        </w:trPr>
        <w:tc>
          <w:tcPr>
            <w:tcW w:w="4225" w:type="dxa"/>
          </w:tcPr>
          <w:p w14:paraId="6625FF69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BSEC’s Consent for IPO</w:t>
            </w:r>
          </w:p>
        </w:tc>
        <w:tc>
          <w:tcPr>
            <w:tcW w:w="5567" w:type="dxa"/>
          </w:tcPr>
          <w:p w14:paraId="5AC43BAE" w14:textId="135D2A71" w:rsidR="00112509" w:rsidRPr="00475534" w:rsidRDefault="00B67280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January 03, 2019</w:t>
            </w:r>
            <w:r w:rsidR="00112509" w:rsidRPr="0047553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475534" w:rsidRPr="00475534" w14:paraId="599281B7" w14:textId="77777777" w:rsidTr="00385BAF">
        <w:trPr>
          <w:trHeight w:val="326"/>
        </w:trPr>
        <w:tc>
          <w:tcPr>
            <w:tcW w:w="4225" w:type="dxa"/>
          </w:tcPr>
          <w:p w14:paraId="69E23ACB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Issue Date of Prospectus</w:t>
            </w:r>
          </w:p>
        </w:tc>
        <w:tc>
          <w:tcPr>
            <w:tcW w:w="5567" w:type="dxa"/>
          </w:tcPr>
          <w:p w14:paraId="26F67FD3" w14:textId="2541E832" w:rsidR="00112509" w:rsidRPr="00475534" w:rsidRDefault="00B67280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January </w:t>
            </w:r>
            <w:r w:rsidR="00ED3E48" w:rsidRPr="00475534">
              <w:rPr>
                <w:rFonts w:cstheme="minorHAnsi"/>
                <w:sz w:val="26"/>
                <w:szCs w:val="26"/>
              </w:rPr>
              <w:t>06</w:t>
            </w:r>
            <w:r w:rsidRPr="00475534">
              <w:rPr>
                <w:rFonts w:cstheme="minorHAnsi"/>
                <w:sz w:val="26"/>
                <w:szCs w:val="26"/>
              </w:rPr>
              <w:t>, 2019</w:t>
            </w:r>
          </w:p>
        </w:tc>
      </w:tr>
      <w:tr w:rsidR="00475534" w:rsidRPr="00475534" w14:paraId="41D2EF4F" w14:textId="77777777" w:rsidTr="00385BAF">
        <w:trPr>
          <w:trHeight w:val="326"/>
        </w:trPr>
        <w:tc>
          <w:tcPr>
            <w:tcW w:w="4225" w:type="dxa"/>
          </w:tcPr>
          <w:p w14:paraId="64872EEE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Subscription Open</w:t>
            </w:r>
          </w:p>
        </w:tc>
        <w:tc>
          <w:tcPr>
            <w:tcW w:w="5567" w:type="dxa"/>
          </w:tcPr>
          <w:p w14:paraId="31205E6B" w14:textId="3F1AED00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January </w:t>
            </w:r>
            <w:r w:rsidR="00ED3E48" w:rsidRPr="00475534">
              <w:rPr>
                <w:rFonts w:cstheme="minorHAnsi"/>
                <w:sz w:val="26"/>
                <w:szCs w:val="26"/>
              </w:rPr>
              <w:t>31</w:t>
            </w:r>
            <w:r w:rsidRPr="00475534">
              <w:rPr>
                <w:rFonts w:cstheme="minorHAnsi"/>
                <w:sz w:val="26"/>
                <w:szCs w:val="26"/>
              </w:rPr>
              <w:t>, 2019</w:t>
            </w:r>
          </w:p>
        </w:tc>
      </w:tr>
      <w:tr w:rsidR="00475534" w:rsidRPr="00475534" w14:paraId="560E626A" w14:textId="77777777" w:rsidTr="00385BAF">
        <w:trPr>
          <w:trHeight w:val="326"/>
        </w:trPr>
        <w:tc>
          <w:tcPr>
            <w:tcW w:w="4225" w:type="dxa"/>
          </w:tcPr>
          <w:p w14:paraId="54338BA1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Subscription Close</w:t>
            </w:r>
          </w:p>
        </w:tc>
        <w:tc>
          <w:tcPr>
            <w:tcW w:w="5567" w:type="dxa"/>
          </w:tcPr>
          <w:p w14:paraId="588088D6" w14:textId="3984F9AE" w:rsidR="00112509" w:rsidRPr="00475534" w:rsidRDefault="00ED3E48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February 10, 2019</w:t>
            </w:r>
          </w:p>
        </w:tc>
      </w:tr>
      <w:tr w:rsidR="00475534" w:rsidRPr="00475534" w14:paraId="450DAF4B" w14:textId="77777777" w:rsidTr="00385BAF">
        <w:trPr>
          <w:trHeight w:val="326"/>
        </w:trPr>
        <w:tc>
          <w:tcPr>
            <w:tcW w:w="4225" w:type="dxa"/>
          </w:tcPr>
          <w:p w14:paraId="2652E22E" w14:textId="63592C6C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Security Trading Code</w:t>
            </w:r>
          </w:p>
        </w:tc>
        <w:tc>
          <w:tcPr>
            <w:tcW w:w="5567" w:type="dxa"/>
          </w:tcPr>
          <w:p w14:paraId="54BBD600" w14:textId="175150A8" w:rsidR="00112509" w:rsidRPr="00475534" w:rsidRDefault="00ED3E48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RUNNERAUTO</w:t>
            </w:r>
          </w:p>
        </w:tc>
      </w:tr>
      <w:tr w:rsidR="00475534" w:rsidRPr="00475534" w14:paraId="22964DA9" w14:textId="77777777" w:rsidTr="00385BAF">
        <w:trPr>
          <w:trHeight w:val="326"/>
        </w:trPr>
        <w:tc>
          <w:tcPr>
            <w:tcW w:w="4225" w:type="dxa"/>
          </w:tcPr>
          <w:p w14:paraId="00E27333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Public Offer of Ordinary Shares</w:t>
            </w:r>
          </w:p>
        </w:tc>
        <w:tc>
          <w:tcPr>
            <w:tcW w:w="5567" w:type="dxa"/>
          </w:tcPr>
          <w:p w14:paraId="0A6A1438" w14:textId="3DEF2195" w:rsidR="00112509" w:rsidRPr="00475534" w:rsidRDefault="00ED3E48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13,930,348</w:t>
            </w:r>
            <w:r w:rsidR="00112509" w:rsidRPr="00475534">
              <w:rPr>
                <w:rFonts w:cstheme="minorHAnsi"/>
                <w:sz w:val="26"/>
                <w:szCs w:val="26"/>
              </w:rPr>
              <w:t xml:space="preserve"> shares</w:t>
            </w:r>
          </w:p>
        </w:tc>
      </w:tr>
      <w:tr w:rsidR="00475534" w:rsidRPr="00475534" w14:paraId="30D05EA2" w14:textId="77777777" w:rsidTr="00385BAF">
        <w:trPr>
          <w:trHeight w:val="326"/>
        </w:trPr>
        <w:tc>
          <w:tcPr>
            <w:tcW w:w="4225" w:type="dxa"/>
          </w:tcPr>
          <w:p w14:paraId="7B2E1CE7" w14:textId="1B4C92A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Cut Off Price </w:t>
            </w:r>
          </w:p>
        </w:tc>
        <w:tc>
          <w:tcPr>
            <w:tcW w:w="5567" w:type="dxa"/>
          </w:tcPr>
          <w:p w14:paraId="3317BD92" w14:textId="78021D94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Tk. </w:t>
            </w:r>
            <w:r w:rsidR="00ED3E48" w:rsidRPr="00475534">
              <w:rPr>
                <w:rFonts w:cstheme="minorHAnsi"/>
                <w:sz w:val="26"/>
                <w:szCs w:val="26"/>
              </w:rPr>
              <w:t>7</w:t>
            </w:r>
            <w:r w:rsidRPr="00475534">
              <w:rPr>
                <w:rFonts w:cstheme="minorHAnsi"/>
                <w:sz w:val="26"/>
                <w:szCs w:val="26"/>
              </w:rPr>
              <w:t>5 each</w:t>
            </w:r>
          </w:p>
        </w:tc>
      </w:tr>
      <w:tr w:rsidR="00475534" w:rsidRPr="00475534" w14:paraId="60018DAC" w14:textId="77777777" w:rsidTr="00385BAF">
        <w:trPr>
          <w:trHeight w:val="326"/>
        </w:trPr>
        <w:tc>
          <w:tcPr>
            <w:tcW w:w="4225" w:type="dxa"/>
          </w:tcPr>
          <w:p w14:paraId="0E1C9E15" w14:textId="3380FA9D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Offer Price for General Public including NRB and Others</w:t>
            </w:r>
          </w:p>
        </w:tc>
        <w:tc>
          <w:tcPr>
            <w:tcW w:w="5567" w:type="dxa"/>
          </w:tcPr>
          <w:p w14:paraId="7AE93775" w14:textId="7A9D90D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Tk. </w:t>
            </w:r>
            <w:r w:rsidR="00ED3E48" w:rsidRPr="00475534">
              <w:rPr>
                <w:rFonts w:cstheme="minorHAnsi"/>
                <w:sz w:val="26"/>
                <w:szCs w:val="26"/>
              </w:rPr>
              <w:t>67</w:t>
            </w:r>
            <w:r w:rsidRPr="00475534">
              <w:rPr>
                <w:rFonts w:cstheme="minorHAnsi"/>
                <w:sz w:val="26"/>
                <w:szCs w:val="26"/>
              </w:rPr>
              <w:t xml:space="preserve"> each </w:t>
            </w:r>
          </w:p>
        </w:tc>
      </w:tr>
      <w:tr w:rsidR="00475534" w:rsidRPr="00475534" w14:paraId="0FDC08CE" w14:textId="77777777" w:rsidTr="00385BAF">
        <w:trPr>
          <w:trHeight w:val="326"/>
        </w:trPr>
        <w:tc>
          <w:tcPr>
            <w:tcW w:w="4225" w:type="dxa"/>
          </w:tcPr>
          <w:p w14:paraId="44CB4977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Authorized Capital</w:t>
            </w:r>
          </w:p>
        </w:tc>
        <w:tc>
          <w:tcPr>
            <w:tcW w:w="5567" w:type="dxa"/>
          </w:tcPr>
          <w:p w14:paraId="45CE2130" w14:textId="1EE4B6D1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Tk. 2,000</w:t>
            </w:r>
            <w:r w:rsidR="00ED3E48" w:rsidRPr="00475534">
              <w:rPr>
                <w:rFonts w:cstheme="minorHAnsi"/>
                <w:sz w:val="26"/>
                <w:szCs w:val="26"/>
              </w:rPr>
              <w:t>.00</w:t>
            </w:r>
            <w:r w:rsidRPr="00475534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475534" w:rsidRPr="00475534" w14:paraId="498C0E68" w14:textId="77777777" w:rsidTr="00385BAF">
        <w:trPr>
          <w:trHeight w:val="326"/>
        </w:trPr>
        <w:tc>
          <w:tcPr>
            <w:tcW w:w="4225" w:type="dxa"/>
          </w:tcPr>
          <w:p w14:paraId="074A7C90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Pre-IPO Paid-up Capital</w:t>
            </w:r>
          </w:p>
        </w:tc>
        <w:tc>
          <w:tcPr>
            <w:tcW w:w="5567" w:type="dxa"/>
          </w:tcPr>
          <w:p w14:paraId="4F995CDB" w14:textId="65F90159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Tk. </w:t>
            </w:r>
            <w:r w:rsidR="00ED3E48" w:rsidRPr="00475534">
              <w:rPr>
                <w:rFonts w:cstheme="minorHAnsi"/>
                <w:sz w:val="26"/>
                <w:szCs w:val="26"/>
              </w:rPr>
              <w:t xml:space="preserve">  942.029</w:t>
            </w:r>
            <w:r w:rsidRPr="00475534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475534" w:rsidRPr="00475534" w14:paraId="3D7DC843" w14:textId="77777777" w:rsidTr="00385BAF">
        <w:trPr>
          <w:trHeight w:val="326"/>
        </w:trPr>
        <w:tc>
          <w:tcPr>
            <w:tcW w:w="4225" w:type="dxa"/>
          </w:tcPr>
          <w:p w14:paraId="1D118540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IPO Size </w:t>
            </w:r>
          </w:p>
        </w:tc>
        <w:tc>
          <w:tcPr>
            <w:tcW w:w="5567" w:type="dxa"/>
          </w:tcPr>
          <w:p w14:paraId="44319715" w14:textId="5345AAC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Tk. 1,</w:t>
            </w:r>
            <w:r w:rsidR="00ED3E48" w:rsidRPr="00475534">
              <w:rPr>
                <w:rFonts w:cstheme="minorHAnsi"/>
                <w:sz w:val="26"/>
                <w:szCs w:val="26"/>
              </w:rPr>
              <w:t>0</w:t>
            </w:r>
            <w:r w:rsidRPr="00475534">
              <w:rPr>
                <w:rFonts w:cstheme="minorHAnsi"/>
                <w:sz w:val="26"/>
                <w:szCs w:val="26"/>
              </w:rPr>
              <w:t>00</w:t>
            </w:r>
            <w:r w:rsidR="00ED3E48" w:rsidRPr="00475534">
              <w:rPr>
                <w:rFonts w:cstheme="minorHAnsi"/>
                <w:sz w:val="26"/>
                <w:szCs w:val="26"/>
              </w:rPr>
              <w:t>.00</w:t>
            </w:r>
            <w:r w:rsidRPr="00475534">
              <w:rPr>
                <w:rFonts w:cstheme="minorHAnsi"/>
                <w:sz w:val="26"/>
                <w:szCs w:val="26"/>
              </w:rPr>
              <w:t>mn app.</w:t>
            </w:r>
          </w:p>
        </w:tc>
      </w:tr>
      <w:tr w:rsidR="00475534" w:rsidRPr="00475534" w14:paraId="6BC81EAB" w14:textId="77777777" w:rsidTr="00385BAF">
        <w:trPr>
          <w:trHeight w:val="326"/>
        </w:trPr>
        <w:tc>
          <w:tcPr>
            <w:tcW w:w="4225" w:type="dxa"/>
          </w:tcPr>
          <w:p w14:paraId="1D787EB2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Post IPO Paid-up Capital</w:t>
            </w:r>
          </w:p>
        </w:tc>
        <w:tc>
          <w:tcPr>
            <w:tcW w:w="5567" w:type="dxa"/>
          </w:tcPr>
          <w:p w14:paraId="32A129AA" w14:textId="3FEC43FC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Tk. 1,</w:t>
            </w:r>
            <w:r w:rsidR="00ED3E48" w:rsidRPr="00475534">
              <w:rPr>
                <w:rFonts w:cstheme="minorHAnsi"/>
                <w:sz w:val="26"/>
                <w:szCs w:val="26"/>
              </w:rPr>
              <w:t>081.333</w:t>
            </w:r>
            <w:r w:rsidRPr="00475534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475534" w:rsidRPr="00475534" w14:paraId="3A447882" w14:textId="77777777" w:rsidTr="00385BAF">
        <w:trPr>
          <w:trHeight w:val="359"/>
        </w:trPr>
        <w:tc>
          <w:tcPr>
            <w:tcW w:w="4225" w:type="dxa"/>
          </w:tcPr>
          <w:p w14:paraId="774D83FF" w14:textId="7D519EC6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Min. size for IPO subscription (per lot)</w:t>
            </w:r>
          </w:p>
        </w:tc>
        <w:tc>
          <w:tcPr>
            <w:tcW w:w="5567" w:type="dxa"/>
          </w:tcPr>
          <w:p w14:paraId="73CDD3D5" w14:textId="0C6E39C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100</w:t>
            </w:r>
          </w:p>
        </w:tc>
      </w:tr>
      <w:tr w:rsidR="00475534" w:rsidRPr="00475534" w14:paraId="4B60E3FD" w14:textId="77777777" w:rsidTr="007F26F3">
        <w:trPr>
          <w:trHeight w:val="737"/>
        </w:trPr>
        <w:tc>
          <w:tcPr>
            <w:tcW w:w="4225" w:type="dxa"/>
          </w:tcPr>
          <w:p w14:paraId="6FCFDCE1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Foreign Currency reqd. for NRB and Foreign Applicants (per Lot)</w:t>
            </w:r>
          </w:p>
        </w:tc>
        <w:tc>
          <w:tcPr>
            <w:tcW w:w="5567" w:type="dxa"/>
          </w:tcPr>
          <w:p w14:paraId="7C3C78B7" w14:textId="1D8EDCB9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USD </w:t>
            </w:r>
            <w:r w:rsidR="00ED3E48" w:rsidRPr="00475534">
              <w:rPr>
                <w:rFonts w:cstheme="minorHAnsi"/>
                <w:sz w:val="26"/>
                <w:szCs w:val="26"/>
              </w:rPr>
              <w:t>80.53</w:t>
            </w:r>
            <w:r w:rsidRPr="00475534">
              <w:t xml:space="preserve"> </w:t>
            </w:r>
            <w:r w:rsidRPr="00475534">
              <w:rPr>
                <w:rFonts w:cstheme="minorHAnsi"/>
                <w:sz w:val="26"/>
                <w:szCs w:val="26"/>
              </w:rPr>
              <w:t xml:space="preserve">or GBP </w:t>
            </w:r>
            <w:r w:rsidR="00ED3E48" w:rsidRPr="00475534">
              <w:rPr>
                <w:rFonts w:cstheme="minorHAnsi"/>
                <w:sz w:val="26"/>
                <w:szCs w:val="26"/>
              </w:rPr>
              <w:t>63.44</w:t>
            </w:r>
            <w:r w:rsidRPr="00475534">
              <w:rPr>
                <w:rFonts w:cstheme="minorHAnsi"/>
                <w:sz w:val="26"/>
                <w:szCs w:val="26"/>
              </w:rPr>
              <w:t xml:space="preserve">or EUR </w:t>
            </w:r>
            <w:r w:rsidR="00ED3E48" w:rsidRPr="00475534">
              <w:rPr>
                <w:rFonts w:cstheme="minorHAnsi"/>
                <w:sz w:val="26"/>
                <w:szCs w:val="26"/>
              </w:rPr>
              <w:t>71.04</w:t>
            </w:r>
          </w:p>
          <w:p w14:paraId="145992C9" w14:textId="75714D90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75534" w:rsidRPr="00475534" w14:paraId="0BD9DCAE" w14:textId="77777777" w:rsidTr="002D4E47">
        <w:trPr>
          <w:trHeight w:val="2087"/>
        </w:trPr>
        <w:tc>
          <w:tcPr>
            <w:tcW w:w="4225" w:type="dxa"/>
          </w:tcPr>
          <w:p w14:paraId="5F1738E0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lastRenderedPageBreak/>
              <w:t>Use of IPO proceeds</w:t>
            </w:r>
          </w:p>
        </w:tc>
        <w:tc>
          <w:tcPr>
            <w:tcW w:w="5567" w:type="dxa"/>
          </w:tcPr>
          <w:tbl>
            <w:tblPr>
              <w:tblStyle w:val="TableGrid"/>
              <w:tblW w:w="6280" w:type="dxa"/>
              <w:tblInd w:w="3" w:type="dxa"/>
              <w:tblLook w:val="04A0" w:firstRow="1" w:lastRow="0" w:firstColumn="1" w:lastColumn="0" w:noHBand="0" w:noVBand="1"/>
            </w:tblPr>
            <w:tblGrid>
              <w:gridCol w:w="3796"/>
              <w:gridCol w:w="2484"/>
            </w:tblGrid>
            <w:tr w:rsidR="00475534" w:rsidRPr="00475534" w14:paraId="71538C47" w14:textId="77777777" w:rsidTr="00F13558">
              <w:trPr>
                <w:trHeight w:val="326"/>
              </w:trPr>
              <w:tc>
                <w:tcPr>
                  <w:tcW w:w="3796" w:type="dxa"/>
                </w:tcPr>
                <w:p w14:paraId="18EDCCA8" w14:textId="77777777" w:rsidR="00112509" w:rsidRPr="00475534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Particulars</w:t>
                  </w:r>
                </w:p>
              </w:tc>
              <w:tc>
                <w:tcPr>
                  <w:tcW w:w="2484" w:type="dxa"/>
                </w:tcPr>
                <w:p w14:paraId="75D1165B" w14:textId="77777777" w:rsidR="00112509" w:rsidRPr="00475534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Amount (BDT)</w:t>
                  </w:r>
                </w:p>
              </w:tc>
            </w:tr>
            <w:tr w:rsidR="00475534" w:rsidRPr="00475534" w14:paraId="43D64AE5" w14:textId="77777777" w:rsidTr="00F13558">
              <w:trPr>
                <w:trHeight w:val="326"/>
              </w:trPr>
              <w:tc>
                <w:tcPr>
                  <w:tcW w:w="3796" w:type="dxa"/>
                </w:tcPr>
                <w:p w14:paraId="13AF3995" w14:textId="09EA4E19" w:rsidR="00ED3E48" w:rsidRPr="00ED3E48" w:rsidRDefault="00F13558" w:rsidP="00ED3E48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Design, Development </w:t>
                  </w:r>
                  <w:r w:rsidR="00ED3E48" w:rsidRPr="00ED3E48">
                    <w:rPr>
                      <w:rFonts w:cstheme="minorHAnsi"/>
                      <w:sz w:val="26"/>
                      <w:szCs w:val="26"/>
                    </w:rPr>
                    <w:t xml:space="preserve">and R&amp;D </w:t>
                  </w:r>
                </w:p>
                <w:p w14:paraId="2D397D4D" w14:textId="5123B6DD" w:rsidR="00112509" w:rsidRPr="00475534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2484" w:type="dxa"/>
                </w:tcPr>
                <w:p w14:paraId="1188B00B" w14:textId="3B8EEEA9" w:rsidR="00112509" w:rsidRPr="00475534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E50D23" w:rsidRPr="00475534">
                    <w:rPr>
                      <w:rFonts w:cstheme="minorHAnsi"/>
                      <w:sz w:val="26"/>
                      <w:szCs w:val="26"/>
                    </w:rPr>
                    <w:t>147.00mn (14.70%)</w:t>
                  </w: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</w:p>
              </w:tc>
            </w:tr>
            <w:tr w:rsidR="00475534" w:rsidRPr="00475534" w14:paraId="0C2826D2" w14:textId="77777777" w:rsidTr="00F13558">
              <w:trPr>
                <w:trHeight w:val="639"/>
              </w:trPr>
              <w:tc>
                <w:tcPr>
                  <w:tcW w:w="3796" w:type="dxa"/>
                </w:tcPr>
                <w:p w14:paraId="0F04162D" w14:textId="6682B47C" w:rsidR="00112509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Machinery for New Models</w:t>
                  </w:r>
                </w:p>
              </w:tc>
              <w:tc>
                <w:tcPr>
                  <w:tcW w:w="2484" w:type="dxa"/>
                </w:tcPr>
                <w:p w14:paraId="2AD36DCD" w14:textId="4AB153E7" w:rsidR="00112509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 100.00</w:t>
                  </w:r>
                  <w:r w:rsidR="00112509" w:rsidRPr="00475534">
                    <w:rPr>
                      <w:rFonts w:cstheme="minorHAnsi"/>
                      <w:sz w:val="26"/>
                      <w:szCs w:val="26"/>
                    </w:rPr>
                    <w:t>mn (</w:t>
                  </w:r>
                  <w:r w:rsidRPr="00475534">
                    <w:rPr>
                      <w:rFonts w:cstheme="minorHAnsi"/>
                      <w:sz w:val="26"/>
                      <w:szCs w:val="26"/>
                    </w:rPr>
                    <w:t>10.00</w:t>
                  </w:r>
                  <w:r w:rsidR="00112509" w:rsidRPr="00475534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E50D23" w:rsidRPr="00475534" w14:paraId="69DCB215" w14:textId="77777777" w:rsidTr="00F13558">
              <w:trPr>
                <w:trHeight w:val="639"/>
              </w:trPr>
              <w:tc>
                <w:tcPr>
                  <w:tcW w:w="3796" w:type="dxa"/>
                </w:tcPr>
                <w:p w14:paraId="60A33576" w14:textId="0C2CCCE7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Die &amp; </w:t>
                  </w:r>
                  <w:proofErr w:type="spellStart"/>
                  <w:r w:rsidRPr="00475534">
                    <w:rPr>
                      <w:rFonts w:cstheme="minorHAnsi"/>
                      <w:sz w:val="26"/>
                      <w:szCs w:val="26"/>
                    </w:rPr>
                    <w:t>Mould</w:t>
                  </w:r>
                  <w:proofErr w:type="spellEnd"/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for New Models</w:t>
                  </w:r>
                </w:p>
              </w:tc>
              <w:tc>
                <w:tcPr>
                  <w:tcW w:w="2484" w:type="dxa"/>
                </w:tcPr>
                <w:p w14:paraId="7046DEC2" w14:textId="47B4EA43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 205.00mn </w:t>
                  </w:r>
                  <w:proofErr w:type="gramStart"/>
                  <w:r w:rsidRPr="00475534">
                    <w:rPr>
                      <w:rFonts w:cstheme="minorHAnsi"/>
                      <w:sz w:val="26"/>
                      <w:szCs w:val="26"/>
                    </w:rPr>
                    <w:t>( 20.50</w:t>
                  </w:r>
                  <w:proofErr w:type="gramEnd"/>
                  <w:r w:rsidRPr="00475534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E50D23" w:rsidRPr="00475534" w14:paraId="0499B5D0" w14:textId="77777777" w:rsidTr="00F13558">
              <w:trPr>
                <w:trHeight w:val="639"/>
              </w:trPr>
              <w:tc>
                <w:tcPr>
                  <w:tcW w:w="3796" w:type="dxa"/>
                </w:tcPr>
                <w:p w14:paraId="1FC007D4" w14:textId="7E179E61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Development of Existing 80cc/100cc</w:t>
                  </w:r>
                </w:p>
              </w:tc>
              <w:tc>
                <w:tcPr>
                  <w:tcW w:w="2484" w:type="dxa"/>
                </w:tcPr>
                <w:p w14:paraId="24F921FD" w14:textId="3F06A409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   18.00 </w:t>
                  </w:r>
                  <w:proofErr w:type="spellStart"/>
                  <w:proofErr w:type="gramStart"/>
                  <w:r w:rsidRPr="00475534">
                    <w:rPr>
                      <w:rFonts w:cstheme="minorHAnsi"/>
                      <w:sz w:val="26"/>
                      <w:szCs w:val="26"/>
                    </w:rPr>
                    <w:t>mn</w:t>
                  </w:r>
                  <w:proofErr w:type="spellEnd"/>
                  <w:r w:rsidRPr="00475534">
                    <w:rPr>
                      <w:rFonts w:cstheme="minorHAnsi"/>
                      <w:sz w:val="26"/>
                      <w:szCs w:val="26"/>
                    </w:rPr>
                    <w:t>(</w:t>
                  </w:r>
                  <w:proofErr w:type="gramEnd"/>
                  <w:r w:rsidRPr="00475534">
                    <w:rPr>
                      <w:rFonts w:cstheme="minorHAnsi"/>
                      <w:sz w:val="26"/>
                      <w:szCs w:val="26"/>
                    </w:rPr>
                    <w:t>1.80 %)</w:t>
                  </w:r>
                </w:p>
              </w:tc>
            </w:tr>
            <w:tr w:rsidR="00E50D23" w:rsidRPr="00475534" w14:paraId="514C4ABE" w14:textId="77777777" w:rsidTr="00F13558">
              <w:trPr>
                <w:trHeight w:val="639"/>
              </w:trPr>
              <w:tc>
                <w:tcPr>
                  <w:tcW w:w="3796" w:type="dxa"/>
                </w:tcPr>
                <w:p w14:paraId="78AD202D" w14:textId="42FB0F1E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Workshop &amp; QC Machinery</w:t>
                  </w:r>
                </w:p>
              </w:tc>
              <w:tc>
                <w:tcPr>
                  <w:tcW w:w="2484" w:type="dxa"/>
                </w:tcPr>
                <w:p w14:paraId="24B866CB" w14:textId="31063F0E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 160.00mn </w:t>
                  </w:r>
                  <w:proofErr w:type="gramStart"/>
                  <w:r w:rsidRPr="00475534">
                    <w:rPr>
                      <w:rFonts w:cstheme="minorHAnsi"/>
                      <w:sz w:val="26"/>
                      <w:szCs w:val="26"/>
                    </w:rPr>
                    <w:t>( 16.00</w:t>
                  </w:r>
                  <w:proofErr w:type="gramEnd"/>
                  <w:r w:rsidRPr="00475534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E50D23" w:rsidRPr="00475534" w14:paraId="03770257" w14:textId="77777777" w:rsidTr="00F13558">
              <w:trPr>
                <w:trHeight w:val="639"/>
              </w:trPr>
              <w:tc>
                <w:tcPr>
                  <w:tcW w:w="3796" w:type="dxa"/>
                </w:tcPr>
                <w:p w14:paraId="3C9BEC12" w14:textId="4E1100A1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Repayment of Bank Loan</w:t>
                  </w:r>
                </w:p>
              </w:tc>
              <w:tc>
                <w:tcPr>
                  <w:tcW w:w="2484" w:type="dxa"/>
                </w:tcPr>
                <w:p w14:paraId="44BC362C" w14:textId="3196DEAE" w:rsidR="00E50D23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 330.00mn (33.00%)</w:t>
                  </w:r>
                </w:p>
              </w:tc>
            </w:tr>
            <w:tr w:rsidR="00475534" w:rsidRPr="00475534" w14:paraId="69EF89FE" w14:textId="77777777" w:rsidTr="00F13558">
              <w:trPr>
                <w:trHeight w:val="313"/>
              </w:trPr>
              <w:tc>
                <w:tcPr>
                  <w:tcW w:w="3796" w:type="dxa"/>
                </w:tcPr>
                <w:p w14:paraId="3ADD40BE" w14:textId="77777777" w:rsidR="00112509" w:rsidRPr="00475534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IPO Expenses</w:t>
                  </w:r>
                </w:p>
              </w:tc>
              <w:tc>
                <w:tcPr>
                  <w:tcW w:w="2484" w:type="dxa"/>
                </w:tcPr>
                <w:p w14:paraId="55098992" w14:textId="3C593AC1" w:rsidR="00112509" w:rsidRPr="00475534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E50D23" w:rsidRPr="00475534">
                    <w:rPr>
                      <w:rFonts w:cstheme="minorHAnsi"/>
                      <w:sz w:val="26"/>
                      <w:szCs w:val="26"/>
                    </w:rPr>
                    <w:t xml:space="preserve">   </w:t>
                  </w:r>
                  <w:r w:rsidRPr="00475534">
                    <w:rPr>
                      <w:rFonts w:cstheme="minorHAnsi"/>
                      <w:sz w:val="26"/>
                      <w:szCs w:val="26"/>
                    </w:rPr>
                    <w:t>4</w:t>
                  </w:r>
                  <w:r w:rsidR="00E50D23" w:rsidRPr="00475534">
                    <w:rPr>
                      <w:rFonts w:cstheme="minorHAnsi"/>
                      <w:sz w:val="26"/>
                      <w:szCs w:val="26"/>
                    </w:rPr>
                    <w:t>0.00</w:t>
                  </w:r>
                  <w:r w:rsidRPr="00475534">
                    <w:rPr>
                      <w:rFonts w:cstheme="minorHAnsi"/>
                      <w:sz w:val="26"/>
                      <w:szCs w:val="26"/>
                    </w:rPr>
                    <w:t>mn (04.</w:t>
                  </w:r>
                  <w:r w:rsidR="00E50D23" w:rsidRPr="00475534">
                    <w:rPr>
                      <w:rFonts w:cstheme="minorHAnsi"/>
                      <w:sz w:val="26"/>
                      <w:szCs w:val="26"/>
                    </w:rPr>
                    <w:t>00</w:t>
                  </w:r>
                  <w:r w:rsidRPr="00475534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475534" w:rsidRPr="00475534" w14:paraId="3373CE5F" w14:textId="77777777" w:rsidTr="00F13558">
              <w:trPr>
                <w:trHeight w:val="326"/>
              </w:trPr>
              <w:tc>
                <w:tcPr>
                  <w:tcW w:w="3796" w:type="dxa"/>
                </w:tcPr>
                <w:p w14:paraId="258DBAF4" w14:textId="77777777" w:rsidR="00112509" w:rsidRPr="00475534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2484" w:type="dxa"/>
                </w:tcPr>
                <w:p w14:paraId="4949E8C6" w14:textId="5E5F3052" w:rsidR="00112509" w:rsidRPr="00475534" w:rsidRDefault="00E50D23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1</w:t>
                  </w:r>
                  <w:r w:rsidR="00112509" w:rsidRPr="00475534">
                    <w:rPr>
                      <w:rFonts w:cstheme="minorHAnsi"/>
                      <w:sz w:val="26"/>
                      <w:szCs w:val="26"/>
                    </w:rPr>
                    <w:t>,</w:t>
                  </w:r>
                  <w:r w:rsidRPr="00475534">
                    <w:rPr>
                      <w:rFonts w:cstheme="minorHAnsi"/>
                      <w:sz w:val="26"/>
                      <w:szCs w:val="26"/>
                    </w:rPr>
                    <w:t>0</w:t>
                  </w:r>
                  <w:r w:rsidR="00112509" w:rsidRPr="00475534">
                    <w:rPr>
                      <w:rFonts w:cstheme="minorHAnsi"/>
                      <w:sz w:val="26"/>
                      <w:szCs w:val="26"/>
                    </w:rPr>
                    <w:t>00.00mn (100%)</w:t>
                  </w:r>
                </w:p>
              </w:tc>
            </w:tr>
          </w:tbl>
          <w:p w14:paraId="7CC0CF33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75534" w:rsidRPr="00475534" w14:paraId="1D0CA187" w14:textId="77777777" w:rsidTr="00385BAF">
        <w:trPr>
          <w:trHeight w:val="313"/>
        </w:trPr>
        <w:tc>
          <w:tcPr>
            <w:tcW w:w="4225" w:type="dxa"/>
          </w:tcPr>
          <w:p w14:paraId="3FF3AA25" w14:textId="331B97F6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NAV Per Share (With Revaluation)</w:t>
            </w:r>
          </w:p>
        </w:tc>
        <w:tc>
          <w:tcPr>
            <w:tcW w:w="5567" w:type="dxa"/>
          </w:tcPr>
          <w:p w14:paraId="01D32A5B" w14:textId="55637E5C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Tk. </w:t>
            </w:r>
            <w:r w:rsidR="006D7F6E" w:rsidRPr="00475534">
              <w:rPr>
                <w:rFonts w:cstheme="minorHAnsi"/>
                <w:sz w:val="26"/>
                <w:szCs w:val="26"/>
              </w:rPr>
              <w:t>55.70</w:t>
            </w:r>
            <w:r w:rsidRPr="00475534">
              <w:rPr>
                <w:rFonts w:cstheme="minorHAnsi"/>
                <w:sz w:val="26"/>
                <w:szCs w:val="26"/>
              </w:rPr>
              <w:t xml:space="preserve"> as on June 30, 201</w:t>
            </w:r>
            <w:r w:rsidR="00AA34C5" w:rsidRPr="00475534">
              <w:rPr>
                <w:rFonts w:cstheme="minorHAnsi"/>
                <w:sz w:val="26"/>
                <w:szCs w:val="26"/>
              </w:rPr>
              <w:t>7</w:t>
            </w:r>
            <w:r w:rsidRPr="00475534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475534" w:rsidRPr="00475534" w14:paraId="332A69BC" w14:textId="77777777" w:rsidTr="00385BAF">
        <w:trPr>
          <w:trHeight w:val="313"/>
        </w:trPr>
        <w:tc>
          <w:tcPr>
            <w:tcW w:w="4225" w:type="dxa"/>
          </w:tcPr>
          <w:p w14:paraId="31CF2CB1" w14:textId="287E7420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NAV Per Share (Without Revaluation)</w:t>
            </w:r>
          </w:p>
        </w:tc>
        <w:tc>
          <w:tcPr>
            <w:tcW w:w="5567" w:type="dxa"/>
          </w:tcPr>
          <w:p w14:paraId="73F25817" w14:textId="5E2C6713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Tk. </w:t>
            </w:r>
            <w:r w:rsidR="00C21736" w:rsidRPr="00475534">
              <w:rPr>
                <w:rFonts w:cstheme="minorHAnsi"/>
                <w:sz w:val="26"/>
                <w:szCs w:val="26"/>
              </w:rPr>
              <w:t>41.94</w:t>
            </w:r>
            <w:r w:rsidRPr="00475534">
              <w:rPr>
                <w:rFonts w:cstheme="minorHAnsi"/>
                <w:sz w:val="26"/>
                <w:szCs w:val="26"/>
              </w:rPr>
              <w:t xml:space="preserve"> as on June 30, 201</w:t>
            </w:r>
            <w:r w:rsidR="00C21736" w:rsidRPr="00475534">
              <w:rPr>
                <w:rFonts w:cstheme="minorHAnsi"/>
                <w:sz w:val="26"/>
                <w:szCs w:val="26"/>
              </w:rPr>
              <w:t>7</w:t>
            </w:r>
          </w:p>
        </w:tc>
      </w:tr>
      <w:tr w:rsidR="00475534" w:rsidRPr="00475534" w14:paraId="72BA4EE7" w14:textId="77777777" w:rsidTr="00385BAF">
        <w:trPr>
          <w:trHeight w:val="313"/>
        </w:trPr>
        <w:tc>
          <w:tcPr>
            <w:tcW w:w="4225" w:type="dxa"/>
          </w:tcPr>
          <w:p w14:paraId="089D81EE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475534">
              <w:rPr>
                <w:rFonts w:cstheme="minorHAnsi"/>
                <w:sz w:val="26"/>
                <w:szCs w:val="26"/>
              </w:rPr>
              <w:t>Earning</w:t>
            </w:r>
            <w:proofErr w:type="spellEnd"/>
            <w:r w:rsidRPr="00475534">
              <w:rPr>
                <w:rFonts w:cstheme="minorHAnsi"/>
                <w:sz w:val="26"/>
                <w:szCs w:val="26"/>
              </w:rPr>
              <w:t xml:space="preserve"> Per Share (EPS)</w:t>
            </w:r>
          </w:p>
        </w:tc>
        <w:tc>
          <w:tcPr>
            <w:tcW w:w="5567" w:type="dxa"/>
          </w:tcPr>
          <w:p w14:paraId="1D8E2F53" w14:textId="1FC70535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Tk. 3.</w:t>
            </w:r>
            <w:r w:rsidR="00C21736" w:rsidRPr="00475534">
              <w:rPr>
                <w:rFonts w:cstheme="minorHAnsi"/>
                <w:sz w:val="26"/>
                <w:szCs w:val="26"/>
              </w:rPr>
              <w:t>22</w:t>
            </w:r>
            <w:r w:rsidRPr="00475534">
              <w:rPr>
                <w:rFonts w:cstheme="minorHAnsi"/>
                <w:sz w:val="26"/>
                <w:szCs w:val="26"/>
              </w:rPr>
              <w:t xml:space="preserve"> (for the period ended June </w:t>
            </w:r>
            <w:r w:rsidRPr="00475534">
              <w:rPr>
                <w:rFonts w:cstheme="minorHAnsi"/>
                <w:b/>
                <w:sz w:val="20"/>
                <w:szCs w:val="20"/>
              </w:rPr>
              <w:t>30, 201</w:t>
            </w:r>
            <w:r w:rsidR="00C21736" w:rsidRPr="00475534">
              <w:rPr>
                <w:rFonts w:cstheme="minorHAnsi"/>
                <w:b/>
                <w:sz w:val="20"/>
                <w:szCs w:val="20"/>
              </w:rPr>
              <w:t>7</w:t>
            </w:r>
            <w:r w:rsidRPr="0047553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475534" w:rsidRPr="00475534" w14:paraId="4DCC5642" w14:textId="77777777" w:rsidTr="00385BAF">
        <w:trPr>
          <w:trHeight w:val="313"/>
        </w:trPr>
        <w:tc>
          <w:tcPr>
            <w:tcW w:w="4225" w:type="dxa"/>
          </w:tcPr>
          <w:p w14:paraId="7071E642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Dividend History</w:t>
            </w:r>
          </w:p>
        </w:tc>
        <w:tc>
          <w:tcPr>
            <w:tcW w:w="55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8"/>
              <w:gridCol w:w="763"/>
              <w:gridCol w:w="763"/>
              <w:gridCol w:w="763"/>
              <w:gridCol w:w="1127"/>
              <w:gridCol w:w="995"/>
            </w:tblGrid>
            <w:tr w:rsidR="00475534" w:rsidRPr="00475534" w14:paraId="70DC5B1E" w14:textId="77777777" w:rsidTr="00C21736">
              <w:tc>
                <w:tcPr>
                  <w:tcW w:w="788" w:type="dxa"/>
                </w:tcPr>
                <w:p w14:paraId="5AA33FF5" w14:textId="50CD9AF6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Year</w:t>
                  </w:r>
                </w:p>
              </w:tc>
              <w:tc>
                <w:tcPr>
                  <w:tcW w:w="763" w:type="dxa"/>
                </w:tcPr>
                <w:p w14:paraId="43D97531" w14:textId="1AD89EA3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763" w:type="dxa"/>
                </w:tcPr>
                <w:p w14:paraId="0871B4D1" w14:textId="4657B509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763" w:type="dxa"/>
                </w:tcPr>
                <w:p w14:paraId="0D326B81" w14:textId="121E8F5B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1127" w:type="dxa"/>
                </w:tcPr>
                <w:p w14:paraId="6252E278" w14:textId="67EFF7B4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DEC-14</w:t>
                  </w:r>
                </w:p>
              </w:tc>
              <w:tc>
                <w:tcPr>
                  <w:tcW w:w="995" w:type="dxa"/>
                </w:tcPr>
                <w:p w14:paraId="20C6EEB0" w14:textId="3280EE1A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DEC-13</w:t>
                  </w:r>
                </w:p>
              </w:tc>
            </w:tr>
            <w:tr w:rsidR="00475534" w:rsidRPr="00475534" w14:paraId="1491E29D" w14:textId="77777777" w:rsidTr="00C21736">
              <w:tc>
                <w:tcPr>
                  <w:tcW w:w="788" w:type="dxa"/>
                </w:tcPr>
                <w:p w14:paraId="50A07EBD" w14:textId="320A8E45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Stock</w:t>
                  </w:r>
                </w:p>
              </w:tc>
              <w:tc>
                <w:tcPr>
                  <w:tcW w:w="763" w:type="dxa"/>
                </w:tcPr>
                <w:p w14:paraId="382B07C8" w14:textId="6BF81726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65D64571" w14:textId="4B516234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6832EC52" w14:textId="0DC25AF3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1127" w:type="dxa"/>
                </w:tcPr>
                <w:p w14:paraId="04A0F1B1" w14:textId="037641CC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33%</w:t>
                  </w:r>
                </w:p>
              </w:tc>
              <w:tc>
                <w:tcPr>
                  <w:tcW w:w="995" w:type="dxa"/>
                </w:tcPr>
                <w:p w14:paraId="2D64B5FE" w14:textId="7982C5C3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50%</w:t>
                  </w:r>
                </w:p>
              </w:tc>
            </w:tr>
            <w:tr w:rsidR="00475534" w:rsidRPr="00475534" w14:paraId="1DE1D616" w14:textId="77777777" w:rsidTr="00C21736">
              <w:tc>
                <w:tcPr>
                  <w:tcW w:w="788" w:type="dxa"/>
                </w:tcPr>
                <w:p w14:paraId="3BAF6811" w14:textId="718C8937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Cash</w:t>
                  </w:r>
                </w:p>
              </w:tc>
              <w:tc>
                <w:tcPr>
                  <w:tcW w:w="763" w:type="dxa"/>
                </w:tcPr>
                <w:p w14:paraId="53383582" w14:textId="7C21A189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11%</w:t>
                  </w:r>
                </w:p>
              </w:tc>
              <w:tc>
                <w:tcPr>
                  <w:tcW w:w="763" w:type="dxa"/>
                </w:tcPr>
                <w:p w14:paraId="2E699432" w14:textId="7CD8026B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2366FF15" w14:textId="419DDAB8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1127" w:type="dxa"/>
                </w:tcPr>
                <w:p w14:paraId="415495F5" w14:textId="2F727DB8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995" w:type="dxa"/>
                </w:tcPr>
                <w:p w14:paraId="65099CDC" w14:textId="1F66D7E5" w:rsidR="00C21736" w:rsidRPr="00475534" w:rsidRDefault="00C21736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75534"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</w:tr>
          </w:tbl>
          <w:p w14:paraId="5C9B5302" w14:textId="720D82EA" w:rsidR="001A4B19" w:rsidRPr="00475534" w:rsidRDefault="001A4B19" w:rsidP="0011250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75534" w:rsidRPr="00475534" w14:paraId="30DB5EF4" w14:textId="77777777" w:rsidTr="00C06DA2">
        <w:trPr>
          <w:trHeight w:val="350"/>
        </w:trPr>
        <w:tc>
          <w:tcPr>
            <w:tcW w:w="4225" w:type="dxa"/>
          </w:tcPr>
          <w:p w14:paraId="3315F659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Issue Manager</w:t>
            </w:r>
          </w:p>
        </w:tc>
        <w:tc>
          <w:tcPr>
            <w:tcW w:w="5567" w:type="dxa"/>
          </w:tcPr>
          <w:p w14:paraId="6C987C09" w14:textId="70B6BCBE" w:rsidR="00112509" w:rsidRPr="00475534" w:rsidRDefault="00475534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 xml:space="preserve">IDLC Investments </w:t>
            </w:r>
            <w:r w:rsidR="00112509" w:rsidRPr="00475534">
              <w:rPr>
                <w:rFonts w:cstheme="minorHAnsi"/>
                <w:sz w:val="26"/>
                <w:szCs w:val="26"/>
              </w:rPr>
              <w:t>Limited</w:t>
            </w:r>
          </w:p>
        </w:tc>
      </w:tr>
      <w:tr w:rsidR="00985975" w:rsidRPr="00475534" w14:paraId="388C65CF" w14:textId="77777777" w:rsidTr="00C06DA2">
        <w:trPr>
          <w:trHeight w:val="350"/>
        </w:trPr>
        <w:tc>
          <w:tcPr>
            <w:tcW w:w="4225" w:type="dxa"/>
          </w:tcPr>
          <w:p w14:paraId="01C48641" w14:textId="668D1C0D" w:rsidR="00985975" w:rsidRPr="00475534" w:rsidRDefault="00985975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Registrar to the Issue</w:t>
            </w:r>
          </w:p>
        </w:tc>
        <w:tc>
          <w:tcPr>
            <w:tcW w:w="5567" w:type="dxa"/>
          </w:tcPr>
          <w:p w14:paraId="6B5F0D41" w14:textId="53D3409C" w:rsidR="00985975" w:rsidRPr="00475534" w:rsidRDefault="00985975" w:rsidP="00112509">
            <w:pPr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LankaBangla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Investments Limited</w:t>
            </w:r>
          </w:p>
        </w:tc>
      </w:tr>
      <w:tr w:rsidR="00475534" w:rsidRPr="00475534" w14:paraId="61887D79" w14:textId="77777777" w:rsidTr="00385BAF">
        <w:trPr>
          <w:trHeight w:val="313"/>
        </w:trPr>
        <w:tc>
          <w:tcPr>
            <w:tcW w:w="4225" w:type="dxa"/>
          </w:tcPr>
          <w:p w14:paraId="6AD68FE1" w14:textId="77777777" w:rsidR="00112509" w:rsidRPr="00475534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Auditor</w:t>
            </w:r>
          </w:p>
        </w:tc>
        <w:tc>
          <w:tcPr>
            <w:tcW w:w="5567" w:type="dxa"/>
          </w:tcPr>
          <w:p w14:paraId="445A9164" w14:textId="1C33BB38" w:rsidR="00112509" w:rsidRPr="00475534" w:rsidRDefault="00475534" w:rsidP="00602842">
            <w:pPr>
              <w:rPr>
                <w:rFonts w:cstheme="minorHAnsi"/>
                <w:sz w:val="26"/>
                <w:szCs w:val="26"/>
              </w:rPr>
            </w:pPr>
            <w:bookmarkStart w:id="0" w:name="_GoBack"/>
            <w:proofErr w:type="spellStart"/>
            <w:r w:rsidRPr="00985975">
              <w:rPr>
                <w:rFonts w:cstheme="minorHAnsi"/>
                <w:sz w:val="26"/>
                <w:szCs w:val="26"/>
              </w:rPr>
              <w:t>Hoda</w:t>
            </w:r>
            <w:proofErr w:type="spellEnd"/>
            <w:r w:rsidRPr="00985975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985975">
              <w:rPr>
                <w:rFonts w:cstheme="minorHAnsi"/>
                <w:sz w:val="26"/>
                <w:szCs w:val="26"/>
              </w:rPr>
              <w:t>Vasi</w:t>
            </w:r>
            <w:proofErr w:type="spellEnd"/>
            <w:r w:rsidRPr="00985975">
              <w:rPr>
                <w:rFonts w:cstheme="minorHAnsi"/>
                <w:sz w:val="26"/>
                <w:szCs w:val="26"/>
              </w:rPr>
              <w:t xml:space="preserve"> Chowdhury &amp; Co</w:t>
            </w:r>
            <w:bookmarkEnd w:id="0"/>
          </w:p>
        </w:tc>
      </w:tr>
      <w:tr w:rsidR="00475534" w:rsidRPr="00475534" w14:paraId="4067B682" w14:textId="77777777" w:rsidTr="00385BAF">
        <w:trPr>
          <w:trHeight w:val="313"/>
        </w:trPr>
        <w:tc>
          <w:tcPr>
            <w:tcW w:w="4225" w:type="dxa"/>
          </w:tcPr>
          <w:p w14:paraId="27472C62" w14:textId="788BF965" w:rsidR="00602842" w:rsidRPr="00475534" w:rsidRDefault="00602842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Credit Rating (CRAB)</w:t>
            </w:r>
          </w:p>
        </w:tc>
        <w:tc>
          <w:tcPr>
            <w:tcW w:w="5567" w:type="dxa"/>
          </w:tcPr>
          <w:p w14:paraId="707E82AA" w14:textId="02A05D8E" w:rsidR="00602842" w:rsidRPr="00475534" w:rsidRDefault="00602842" w:rsidP="00112509">
            <w:pPr>
              <w:rPr>
                <w:rFonts w:cstheme="minorHAnsi"/>
                <w:sz w:val="26"/>
                <w:szCs w:val="26"/>
              </w:rPr>
            </w:pPr>
            <w:r w:rsidRPr="00475534">
              <w:rPr>
                <w:rFonts w:cstheme="minorHAnsi"/>
                <w:sz w:val="26"/>
                <w:szCs w:val="26"/>
              </w:rPr>
              <w:t>Long Term A</w:t>
            </w:r>
            <w:proofErr w:type="gramStart"/>
            <w:r w:rsidR="00475534" w:rsidRPr="00475534">
              <w:rPr>
                <w:rFonts w:cstheme="minorHAnsi"/>
                <w:sz w:val="26"/>
                <w:szCs w:val="26"/>
              </w:rPr>
              <w:t>2</w:t>
            </w:r>
            <w:r w:rsidRPr="00475534">
              <w:rPr>
                <w:rFonts w:cstheme="minorHAnsi"/>
                <w:sz w:val="26"/>
                <w:szCs w:val="26"/>
              </w:rPr>
              <w:t>;  Short</w:t>
            </w:r>
            <w:proofErr w:type="gramEnd"/>
            <w:r w:rsidRPr="00475534">
              <w:rPr>
                <w:rFonts w:cstheme="minorHAnsi"/>
                <w:sz w:val="26"/>
                <w:szCs w:val="26"/>
              </w:rPr>
              <w:t xml:space="preserve"> Term ST-3</w:t>
            </w:r>
          </w:p>
        </w:tc>
      </w:tr>
    </w:tbl>
    <w:p w14:paraId="38ADC1C3" w14:textId="77777777" w:rsidR="00A872DD" w:rsidRPr="00475534" w:rsidRDefault="00C6315E" w:rsidP="008672B2">
      <w:pPr>
        <w:rPr>
          <w:rFonts w:cstheme="minorHAnsi"/>
        </w:rPr>
      </w:pPr>
    </w:p>
    <w:sectPr w:rsidR="00A872DD" w:rsidRPr="00475534" w:rsidSect="00E669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4A573" w14:textId="77777777" w:rsidR="00C6315E" w:rsidRDefault="00C6315E" w:rsidP="00D06126">
      <w:pPr>
        <w:spacing w:after="0" w:line="240" w:lineRule="auto"/>
      </w:pPr>
      <w:r>
        <w:separator/>
      </w:r>
    </w:p>
  </w:endnote>
  <w:endnote w:type="continuationSeparator" w:id="0">
    <w:p w14:paraId="32EA1E20" w14:textId="77777777" w:rsidR="00C6315E" w:rsidRDefault="00C6315E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E7A7" w14:textId="77777777" w:rsidR="00C6315E" w:rsidRDefault="00C6315E" w:rsidP="00D06126">
      <w:pPr>
        <w:spacing w:after="0" w:line="240" w:lineRule="auto"/>
      </w:pPr>
      <w:r>
        <w:separator/>
      </w:r>
    </w:p>
  </w:footnote>
  <w:footnote w:type="continuationSeparator" w:id="0">
    <w:p w14:paraId="73F15EB8" w14:textId="77777777" w:rsidR="00C6315E" w:rsidRDefault="00C6315E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351A9085" w:rsidR="00D06126" w:rsidRPr="0023480B" w:rsidRDefault="00392639" w:rsidP="00D06126">
    <w:pPr>
      <w:pStyle w:val="Header"/>
      <w:jc w:val="center"/>
      <w:rPr>
        <w:b/>
      </w:rPr>
    </w:pPr>
    <w:r>
      <w:rPr>
        <w:b/>
      </w:rPr>
      <w:t>Runner Automobiles</w:t>
    </w:r>
    <w:r w:rsidR="00F733FD">
      <w:rPr>
        <w:b/>
      </w:rPr>
      <w:t xml:space="preserve"> Limited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267E1"/>
    <w:rsid w:val="00042ACF"/>
    <w:rsid w:val="00056E57"/>
    <w:rsid w:val="00066477"/>
    <w:rsid w:val="00074F45"/>
    <w:rsid w:val="00086961"/>
    <w:rsid w:val="00112509"/>
    <w:rsid w:val="0019000D"/>
    <w:rsid w:val="00192E28"/>
    <w:rsid w:val="0019701D"/>
    <w:rsid w:val="001A4B19"/>
    <w:rsid w:val="0022574E"/>
    <w:rsid w:val="0023480B"/>
    <w:rsid w:val="00246398"/>
    <w:rsid w:val="00284F4D"/>
    <w:rsid w:val="0028673A"/>
    <w:rsid w:val="00295F0A"/>
    <w:rsid w:val="002A6471"/>
    <w:rsid w:val="002B28F4"/>
    <w:rsid w:val="002B722E"/>
    <w:rsid w:val="002D4E47"/>
    <w:rsid w:val="002F1672"/>
    <w:rsid w:val="003047BC"/>
    <w:rsid w:val="003154CB"/>
    <w:rsid w:val="00385BAF"/>
    <w:rsid w:val="003906B8"/>
    <w:rsid w:val="00392639"/>
    <w:rsid w:val="003F4CCD"/>
    <w:rsid w:val="00405BDB"/>
    <w:rsid w:val="004372F7"/>
    <w:rsid w:val="00475534"/>
    <w:rsid w:val="004F7E23"/>
    <w:rsid w:val="00540989"/>
    <w:rsid w:val="00565B10"/>
    <w:rsid w:val="005B0C6C"/>
    <w:rsid w:val="005B5622"/>
    <w:rsid w:val="00602842"/>
    <w:rsid w:val="00612B4B"/>
    <w:rsid w:val="006249A8"/>
    <w:rsid w:val="00635FCE"/>
    <w:rsid w:val="00666F6C"/>
    <w:rsid w:val="006B59B1"/>
    <w:rsid w:val="006C07B8"/>
    <w:rsid w:val="006D406A"/>
    <w:rsid w:val="006D7F6E"/>
    <w:rsid w:val="0070252C"/>
    <w:rsid w:val="00724DDB"/>
    <w:rsid w:val="00741B7F"/>
    <w:rsid w:val="0079008F"/>
    <w:rsid w:val="007F26F3"/>
    <w:rsid w:val="007F6D37"/>
    <w:rsid w:val="007F6E17"/>
    <w:rsid w:val="00825E80"/>
    <w:rsid w:val="008578EF"/>
    <w:rsid w:val="0086141D"/>
    <w:rsid w:val="008672B2"/>
    <w:rsid w:val="0089321A"/>
    <w:rsid w:val="00951997"/>
    <w:rsid w:val="00985975"/>
    <w:rsid w:val="00A639D1"/>
    <w:rsid w:val="00AA335E"/>
    <w:rsid w:val="00AA34C5"/>
    <w:rsid w:val="00AB6BFE"/>
    <w:rsid w:val="00AD347E"/>
    <w:rsid w:val="00AE5C36"/>
    <w:rsid w:val="00AF027B"/>
    <w:rsid w:val="00B3411C"/>
    <w:rsid w:val="00B36797"/>
    <w:rsid w:val="00B67280"/>
    <w:rsid w:val="00C00A11"/>
    <w:rsid w:val="00C0350C"/>
    <w:rsid w:val="00C06DA2"/>
    <w:rsid w:val="00C21736"/>
    <w:rsid w:val="00C542EA"/>
    <w:rsid w:val="00C6315E"/>
    <w:rsid w:val="00CB0F62"/>
    <w:rsid w:val="00CD2521"/>
    <w:rsid w:val="00CD491D"/>
    <w:rsid w:val="00CF41C3"/>
    <w:rsid w:val="00D04BEB"/>
    <w:rsid w:val="00D06126"/>
    <w:rsid w:val="00D32CDB"/>
    <w:rsid w:val="00D42051"/>
    <w:rsid w:val="00D50AFB"/>
    <w:rsid w:val="00D70FF1"/>
    <w:rsid w:val="00D81D4B"/>
    <w:rsid w:val="00D81FC0"/>
    <w:rsid w:val="00E04BB4"/>
    <w:rsid w:val="00E50D23"/>
    <w:rsid w:val="00E66973"/>
    <w:rsid w:val="00E72115"/>
    <w:rsid w:val="00E853E7"/>
    <w:rsid w:val="00E9761E"/>
    <w:rsid w:val="00EB379E"/>
    <w:rsid w:val="00EC77BE"/>
    <w:rsid w:val="00ED3E48"/>
    <w:rsid w:val="00EE5BDC"/>
    <w:rsid w:val="00F13558"/>
    <w:rsid w:val="00F733FD"/>
    <w:rsid w:val="00F80785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096-02-333881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7</cp:revision>
  <cp:lastPrinted>2019-01-07T07:02:00Z</cp:lastPrinted>
  <dcterms:created xsi:type="dcterms:W3CDTF">2019-02-03T04:25:00Z</dcterms:created>
  <dcterms:modified xsi:type="dcterms:W3CDTF">2019-02-03T05:37:00Z</dcterms:modified>
</cp:coreProperties>
</file>