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92" w:type="dxa"/>
        <w:tblLook w:val="04A0" w:firstRow="1" w:lastRow="0" w:firstColumn="1" w:lastColumn="0" w:noHBand="0" w:noVBand="1"/>
      </w:tblPr>
      <w:tblGrid>
        <w:gridCol w:w="3595"/>
        <w:gridCol w:w="6197"/>
      </w:tblGrid>
      <w:tr w:rsidR="000C6008" w:rsidRPr="00F63362" w14:paraId="5927FEC1" w14:textId="77777777" w:rsidTr="00B33EE5">
        <w:trPr>
          <w:trHeight w:val="639"/>
        </w:trPr>
        <w:tc>
          <w:tcPr>
            <w:tcW w:w="3595" w:type="dxa"/>
          </w:tcPr>
          <w:p w14:paraId="1D1B1BC9" w14:textId="77777777" w:rsidR="006C07B8" w:rsidRPr="00F63362" w:rsidRDefault="006C07B8">
            <w:pPr>
              <w:rPr>
                <w:rFonts w:ascii="Garamond" w:hAnsi="Garamond" w:cs="Times New Roman"/>
              </w:rPr>
            </w:pPr>
            <w:r w:rsidRPr="00F63362">
              <w:rPr>
                <w:rFonts w:ascii="Garamond" w:hAnsi="Garamond" w:cs="Times New Roman"/>
              </w:rPr>
              <w:t>Address</w:t>
            </w:r>
          </w:p>
        </w:tc>
        <w:tc>
          <w:tcPr>
            <w:tcW w:w="6197" w:type="dxa"/>
          </w:tcPr>
          <w:p w14:paraId="3405AF6F" w14:textId="0323420D" w:rsidR="006C07B8" w:rsidRPr="00F63362" w:rsidRDefault="0081334F" w:rsidP="00C45C25">
            <w:pPr>
              <w:rPr>
                <w:rFonts w:ascii="Garamond" w:hAnsi="Garamond" w:cs="Times New Roman"/>
              </w:rPr>
            </w:pPr>
            <w:proofErr w:type="spellStart"/>
            <w:r w:rsidRPr="00F63362">
              <w:rPr>
                <w:rFonts w:ascii="Garamond" w:hAnsi="Garamond" w:cs="Times New Roman"/>
              </w:rPr>
              <w:t>Saimon</w:t>
            </w:r>
            <w:proofErr w:type="spellEnd"/>
            <w:r w:rsidRPr="00F63362">
              <w:rPr>
                <w:rFonts w:ascii="Garamond" w:hAnsi="Garamond" w:cs="Times New Roman"/>
              </w:rPr>
              <w:t xml:space="preserve"> Center, (5th floor), House– 4/A, Road– 22, Gulshan –1, Dhaka - 1212,</w:t>
            </w:r>
            <w:r w:rsidR="00AA2610" w:rsidRPr="00F63362">
              <w:rPr>
                <w:rFonts w:ascii="Garamond" w:hAnsi="Garamond" w:cs="Times New Roman"/>
              </w:rPr>
              <w:t xml:space="preserve"> </w:t>
            </w:r>
            <w:r w:rsidRPr="00F63362">
              <w:rPr>
                <w:rFonts w:ascii="Garamond" w:hAnsi="Garamond" w:cs="Times New Roman"/>
              </w:rPr>
              <w:t xml:space="preserve">Phone: (88)02222293076, Fax: Nil </w:t>
            </w:r>
            <w:proofErr w:type="spellStart"/>
            <w:proofErr w:type="gramStart"/>
            <w:r w:rsidRPr="00F63362">
              <w:rPr>
                <w:rFonts w:ascii="Garamond" w:hAnsi="Garamond" w:cs="Times New Roman"/>
              </w:rPr>
              <w:t>Email:info@egeneration.co</w:t>
            </w:r>
            <w:proofErr w:type="spellEnd"/>
            <w:proofErr w:type="gramEnd"/>
            <w:r w:rsidRPr="00F63362">
              <w:rPr>
                <w:rFonts w:ascii="Garamond" w:hAnsi="Garamond" w:cs="Times New Roman"/>
              </w:rPr>
              <w:t xml:space="preserve">  Web: www.egeneration.co</w:t>
            </w:r>
          </w:p>
        </w:tc>
      </w:tr>
      <w:tr w:rsidR="00A56A7D" w:rsidRPr="00F63362" w14:paraId="6C9BA4A4" w14:textId="77777777" w:rsidTr="00B33EE5">
        <w:trPr>
          <w:trHeight w:val="368"/>
        </w:trPr>
        <w:tc>
          <w:tcPr>
            <w:tcW w:w="3595" w:type="dxa"/>
          </w:tcPr>
          <w:p w14:paraId="3B3F385E" w14:textId="0ED5C625" w:rsidR="00A56A7D" w:rsidRPr="00F63362" w:rsidRDefault="00A56A7D">
            <w:pPr>
              <w:rPr>
                <w:rFonts w:ascii="Garamond" w:hAnsi="Garamond" w:cs="Times New Roman"/>
              </w:rPr>
            </w:pPr>
            <w:r w:rsidRPr="00F63362">
              <w:rPr>
                <w:rFonts w:ascii="Garamond" w:hAnsi="Garamond" w:cs="Times New Roman"/>
              </w:rPr>
              <w:t>Managing Director</w:t>
            </w:r>
          </w:p>
        </w:tc>
        <w:tc>
          <w:tcPr>
            <w:tcW w:w="6197" w:type="dxa"/>
          </w:tcPr>
          <w:p w14:paraId="0362491E" w14:textId="34AE67A0" w:rsidR="00A56A7D" w:rsidRPr="00F63362" w:rsidRDefault="003E617C" w:rsidP="00C45C25">
            <w:pPr>
              <w:rPr>
                <w:rFonts w:ascii="Garamond" w:hAnsi="Garamond" w:cs="Times New Roman"/>
              </w:rPr>
            </w:pPr>
            <w:r w:rsidRPr="00F63362">
              <w:rPr>
                <w:rFonts w:ascii="Garamond" w:hAnsi="Garamond" w:cs="Times New Roman"/>
              </w:rPr>
              <w:t xml:space="preserve">Mr. </w:t>
            </w:r>
            <w:r w:rsidR="0081334F" w:rsidRPr="00F63362">
              <w:rPr>
                <w:rFonts w:ascii="Garamond" w:hAnsi="Garamond" w:cs="Times New Roman"/>
              </w:rPr>
              <w:t>Shameem Ahsan</w:t>
            </w:r>
          </w:p>
        </w:tc>
      </w:tr>
      <w:tr w:rsidR="000C6008" w:rsidRPr="00F63362" w14:paraId="0523BB2B" w14:textId="77777777" w:rsidTr="00B33EE5">
        <w:trPr>
          <w:trHeight w:val="639"/>
        </w:trPr>
        <w:tc>
          <w:tcPr>
            <w:tcW w:w="3595" w:type="dxa"/>
          </w:tcPr>
          <w:p w14:paraId="6E650C40" w14:textId="77777777" w:rsidR="00D06126" w:rsidRPr="00F63362" w:rsidRDefault="00D06126">
            <w:pPr>
              <w:rPr>
                <w:rFonts w:ascii="Garamond" w:hAnsi="Garamond" w:cs="Times New Roman"/>
              </w:rPr>
            </w:pPr>
            <w:r w:rsidRPr="00F63362">
              <w:rPr>
                <w:rFonts w:ascii="Garamond" w:hAnsi="Garamond" w:cs="Times New Roman"/>
              </w:rPr>
              <w:t>Nature of Business</w:t>
            </w:r>
          </w:p>
        </w:tc>
        <w:tc>
          <w:tcPr>
            <w:tcW w:w="6197" w:type="dxa"/>
          </w:tcPr>
          <w:p w14:paraId="3593E0CC" w14:textId="2AAA5ABA" w:rsidR="00D06126" w:rsidRPr="00F63362" w:rsidRDefault="0081334F" w:rsidP="00C45C25">
            <w:pPr>
              <w:jc w:val="both"/>
              <w:rPr>
                <w:rFonts w:ascii="Garamond" w:hAnsi="Garamond" w:cs="Times New Roman"/>
              </w:rPr>
            </w:pPr>
            <w:proofErr w:type="spellStart"/>
            <w:r w:rsidRPr="00F63362">
              <w:rPr>
                <w:rFonts w:ascii="Garamond" w:hAnsi="Garamond" w:cs="Times New Roman"/>
              </w:rPr>
              <w:t>eGeneration</w:t>
            </w:r>
            <w:proofErr w:type="spellEnd"/>
            <w:r w:rsidRPr="00F63362">
              <w:rPr>
                <w:rFonts w:ascii="Garamond" w:hAnsi="Garamond" w:cs="Times New Roman"/>
              </w:rPr>
              <w:t xml:space="preserve"> Ltd. is one of the leading IT consulting and software solutions company of Bangladesh. </w:t>
            </w:r>
            <w:proofErr w:type="spellStart"/>
            <w:r w:rsidRPr="00F63362">
              <w:rPr>
                <w:rFonts w:ascii="Garamond" w:hAnsi="Garamond" w:cs="Times New Roman"/>
              </w:rPr>
              <w:t>eGeneration</w:t>
            </w:r>
            <w:proofErr w:type="spellEnd"/>
            <w:r w:rsidRPr="00F63362">
              <w:rPr>
                <w:rFonts w:ascii="Garamond" w:hAnsi="Garamond" w:cs="Times New Roman"/>
              </w:rPr>
              <w:t xml:space="preserve"> Ltd. has been working diligently with an aim to make Bangladesh a Global Brand in providing leading innovative solutions and moving beyond being a low-cost IT solutions provider. The </w:t>
            </w:r>
            <w:proofErr w:type="spellStart"/>
            <w:r w:rsidRPr="00F63362">
              <w:rPr>
                <w:rFonts w:ascii="Garamond" w:hAnsi="Garamond" w:cs="Times New Roman"/>
              </w:rPr>
              <w:t>eGeneration</w:t>
            </w:r>
            <w:proofErr w:type="spellEnd"/>
            <w:r w:rsidRPr="00F63362">
              <w:rPr>
                <w:rFonts w:ascii="Garamond" w:hAnsi="Garamond" w:cs="Times New Roman"/>
              </w:rPr>
              <w:t xml:space="preserve"> approach to IT consulting leverages an exceptional network of consultants, interlinking the specialized knowledge of each practice to provide the best solutions possible for both private and public sector clients. The result is a response tailored to each project, fully reflecting the intent of the client’s policies and priorities, significantly improving service delivery and performance</w:t>
            </w:r>
          </w:p>
        </w:tc>
      </w:tr>
      <w:tr w:rsidR="00461DB0" w:rsidRPr="00F63362" w14:paraId="0F77DBB3" w14:textId="77777777" w:rsidTr="0081334F">
        <w:trPr>
          <w:trHeight w:val="422"/>
        </w:trPr>
        <w:tc>
          <w:tcPr>
            <w:tcW w:w="3595" w:type="dxa"/>
          </w:tcPr>
          <w:p w14:paraId="60749B37" w14:textId="501BE72B" w:rsidR="00461DB0" w:rsidRPr="00F63362" w:rsidRDefault="00461DB0">
            <w:pPr>
              <w:rPr>
                <w:rFonts w:ascii="Garamond" w:hAnsi="Garamond" w:cs="Times New Roman"/>
              </w:rPr>
            </w:pPr>
            <w:r w:rsidRPr="00F63362">
              <w:rPr>
                <w:rFonts w:ascii="Garamond" w:hAnsi="Garamond" w:cs="Times New Roman"/>
              </w:rPr>
              <w:t>Product/Service</w:t>
            </w:r>
          </w:p>
        </w:tc>
        <w:tc>
          <w:tcPr>
            <w:tcW w:w="6197" w:type="dxa"/>
          </w:tcPr>
          <w:p w14:paraId="747389BC" w14:textId="309B0962" w:rsidR="00461DB0" w:rsidRPr="00F63362" w:rsidRDefault="0081334F" w:rsidP="00C45C25">
            <w:pPr>
              <w:jc w:val="both"/>
              <w:rPr>
                <w:rFonts w:ascii="Garamond" w:hAnsi="Garamond" w:cs="Times New Roman"/>
              </w:rPr>
            </w:pPr>
            <w:r w:rsidRPr="00F63362">
              <w:rPr>
                <w:rFonts w:ascii="Garamond" w:hAnsi="Garamond" w:cs="Times New Roman"/>
              </w:rPr>
              <w:t xml:space="preserve">Management Consulting Related Services, Technology Services such as Microsoft Solutions, SAP/ERP Solutions, Data </w:t>
            </w:r>
            <w:proofErr w:type="spellStart"/>
            <w:proofErr w:type="gramStart"/>
            <w:r w:rsidRPr="00F63362">
              <w:rPr>
                <w:rFonts w:ascii="Garamond" w:hAnsi="Garamond" w:cs="Times New Roman"/>
              </w:rPr>
              <w:t>Center,Data</w:t>
            </w:r>
            <w:proofErr w:type="spellEnd"/>
            <w:proofErr w:type="gramEnd"/>
            <w:r w:rsidRPr="00F63362">
              <w:rPr>
                <w:rFonts w:ascii="Garamond" w:hAnsi="Garamond" w:cs="Times New Roman"/>
              </w:rPr>
              <w:t xml:space="preserve"> Analytics, Cisco Solutions,  Cyber Security Solutions, Software/System </w:t>
            </w:r>
            <w:proofErr w:type="spellStart"/>
            <w:r w:rsidRPr="00F63362">
              <w:rPr>
                <w:rFonts w:ascii="Garamond" w:hAnsi="Garamond" w:cs="Times New Roman"/>
              </w:rPr>
              <w:t>Devlopment</w:t>
            </w:r>
            <w:proofErr w:type="spellEnd"/>
            <w:r w:rsidRPr="00F63362">
              <w:rPr>
                <w:rFonts w:ascii="Garamond" w:hAnsi="Garamond" w:cs="Times New Roman"/>
              </w:rPr>
              <w:t xml:space="preserve"> &amp; Implementation Service</w:t>
            </w:r>
          </w:p>
        </w:tc>
      </w:tr>
      <w:tr w:rsidR="000C6008" w:rsidRPr="00F63362" w14:paraId="291E5762" w14:textId="77777777" w:rsidTr="00B33EE5">
        <w:trPr>
          <w:trHeight w:val="326"/>
        </w:trPr>
        <w:tc>
          <w:tcPr>
            <w:tcW w:w="3595" w:type="dxa"/>
          </w:tcPr>
          <w:p w14:paraId="2CC0226E" w14:textId="77777777" w:rsidR="00D06126" w:rsidRPr="00F63362" w:rsidRDefault="00612B4B">
            <w:pPr>
              <w:rPr>
                <w:rFonts w:ascii="Garamond" w:hAnsi="Garamond" w:cs="Times New Roman"/>
              </w:rPr>
            </w:pPr>
            <w:r w:rsidRPr="00F63362">
              <w:rPr>
                <w:rFonts w:ascii="Garamond" w:hAnsi="Garamond" w:cs="Times New Roman"/>
              </w:rPr>
              <w:t>Market for the products</w:t>
            </w:r>
          </w:p>
        </w:tc>
        <w:tc>
          <w:tcPr>
            <w:tcW w:w="6197" w:type="dxa"/>
          </w:tcPr>
          <w:p w14:paraId="61F5ADED" w14:textId="1ECF5060" w:rsidR="00D06126" w:rsidRPr="00F63362" w:rsidRDefault="00F158F3">
            <w:pPr>
              <w:rPr>
                <w:rFonts w:ascii="Garamond" w:hAnsi="Garamond" w:cs="Times New Roman"/>
              </w:rPr>
            </w:pPr>
            <w:r w:rsidRPr="00F63362">
              <w:rPr>
                <w:rFonts w:ascii="Garamond" w:hAnsi="Garamond" w:cs="Times New Roman"/>
              </w:rPr>
              <w:t xml:space="preserve">Domestic </w:t>
            </w:r>
          </w:p>
        </w:tc>
      </w:tr>
      <w:tr w:rsidR="000C6008" w:rsidRPr="00F63362" w14:paraId="35326890" w14:textId="77777777" w:rsidTr="00B33EE5">
        <w:trPr>
          <w:trHeight w:val="326"/>
        </w:trPr>
        <w:tc>
          <w:tcPr>
            <w:tcW w:w="3595" w:type="dxa"/>
          </w:tcPr>
          <w:p w14:paraId="6625FF69" w14:textId="77777777" w:rsidR="00112509" w:rsidRPr="00F63362" w:rsidRDefault="00112509" w:rsidP="00112509">
            <w:pPr>
              <w:rPr>
                <w:rFonts w:ascii="Garamond" w:hAnsi="Garamond" w:cs="Times New Roman"/>
              </w:rPr>
            </w:pPr>
            <w:r w:rsidRPr="00F63362">
              <w:rPr>
                <w:rFonts w:ascii="Garamond" w:hAnsi="Garamond" w:cs="Times New Roman"/>
              </w:rPr>
              <w:t>BSEC’s Consent for IPO</w:t>
            </w:r>
          </w:p>
        </w:tc>
        <w:tc>
          <w:tcPr>
            <w:tcW w:w="6197" w:type="dxa"/>
          </w:tcPr>
          <w:p w14:paraId="5AC43BAE" w14:textId="2CB1F766" w:rsidR="00112509" w:rsidRPr="00F63362" w:rsidRDefault="00FC769B" w:rsidP="00112509">
            <w:pPr>
              <w:rPr>
                <w:rFonts w:ascii="Garamond" w:hAnsi="Garamond" w:cs="Times New Roman"/>
              </w:rPr>
            </w:pPr>
            <w:r w:rsidRPr="00F63362">
              <w:rPr>
                <w:rFonts w:ascii="Garamond" w:hAnsi="Garamond" w:cs="Times New Roman"/>
              </w:rPr>
              <w:t>December 10, 2020</w:t>
            </w:r>
          </w:p>
        </w:tc>
      </w:tr>
      <w:tr w:rsidR="000C6008" w:rsidRPr="00F63362" w14:paraId="599281B7" w14:textId="77777777" w:rsidTr="00B33EE5">
        <w:trPr>
          <w:trHeight w:val="326"/>
        </w:trPr>
        <w:tc>
          <w:tcPr>
            <w:tcW w:w="3595" w:type="dxa"/>
          </w:tcPr>
          <w:p w14:paraId="69E23ACB" w14:textId="77777777" w:rsidR="00112509" w:rsidRPr="00F63362" w:rsidRDefault="00112509" w:rsidP="00112509">
            <w:pPr>
              <w:rPr>
                <w:rFonts w:ascii="Garamond" w:hAnsi="Garamond" w:cs="Times New Roman"/>
              </w:rPr>
            </w:pPr>
            <w:r w:rsidRPr="00F63362">
              <w:rPr>
                <w:rFonts w:ascii="Garamond" w:hAnsi="Garamond" w:cs="Times New Roman"/>
              </w:rPr>
              <w:t>Issue Date of Prospectus</w:t>
            </w:r>
          </w:p>
        </w:tc>
        <w:tc>
          <w:tcPr>
            <w:tcW w:w="6197" w:type="dxa"/>
          </w:tcPr>
          <w:p w14:paraId="26F67FD3" w14:textId="3C217EF4" w:rsidR="00112509" w:rsidRPr="00F63362" w:rsidRDefault="00FC769B" w:rsidP="00112509">
            <w:pPr>
              <w:rPr>
                <w:rFonts w:ascii="Garamond" w:hAnsi="Garamond" w:cs="Times New Roman"/>
              </w:rPr>
            </w:pPr>
            <w:r w:rsidRPr="00F63362">
              <w:rPr>
                <w:rFonts w:ascii="Garamond" w:hAnsi="Garamond" w:cs="Times New Roman"/>
              </w:rPr>
              <w:t>December 13, 2020</w:t>
            </w:r>
          </w:p>
        </w:tc>
      </w:tr>
      <w:tr w:rsidR="000C6008" w:rsidRPr="00F63362" w14:paraId="41D2EF4F" w14:textId="77777777" w:rsidTr="00B33EE5">
        <w:trPr>
          <w:trHeight w:val="326"/>
        </w:trPr>
        <w:tc>
          <w:tcPr>
            <w:tcW w:w="3595" w:type="dxa"/>
          </w:tcPr>
          <w:p w14:paraId="64872EEE" w14:textId="77777777" w:rsidR="00112509" w:rsidRPr="00F63362" w:rsidRDefault="00112509" w:rsidP="00112509">
            <w:pPr>
              <w:rPr>
                <w:rFonts w:ascii="Garamond" w:hAnsi="Garamond" w:cs="Times New Roman"/>
              </w:rPr>
            </w:pPr>
            <w:r w:rsidRPr="00F63362">
              <w:rPr>
                <w:rFonts w:ascii="Garamond" w:hAnsi="Garamond" w:cs="Times New Roman"/>
              </w:rPr>
              <w:t>Subscription Open</w:t>
            </w:r>
          </w:p>
        </w:tc>
        <w:tc>
          <w:tcPr>
            <w:tcW w:w="6197" w:type="dxa"/>
          </w:tcPr>
          <w:p w14:paraId="31205E6B" w14:textId="2C77EB24" w:rsidR="00112509" w:rsidRPr="00F63362" w:rsidRDefault="00FC769B" w:rsidP="00112509">
            <w:pPr>
              <w:rPr>
                <w:rFonts w:ascii="Garamond" w:hAnsi="Garamond" w:cs="Times New Roman"/>
              </w:rPr>
            </w:pPr>
            <w:r w:rsidRPr="00F63362">
              <w:rPr>
                <w:rFonts w:ascii="Garamond" w:hAnsi="Garamond" w:cs="Times New Roman"/>
              </w:rPr>
              <w:t>January 12, 2021</w:t>
            </w:r>
          </w:p>
        </w:tc>
      </w:tr>
      <w:tr w:rsidR="000C6008" w:rsidRPr="00F63362" w14:paraId="560E626A" w14:textId="77777777" w:rsidTr="00B33EE5">
        <w:trPr>
          <w:trHeight w:val="326"/>
        </w:trPr>
        <w:tc>
          <w:tcPr>
            <w:tcW w:w="3595" w:type="dxa"/>
          </w:tcPr>
          <w:p w14:paraId="54338BA1" w14:textId="77777777" w:rsidR="00112509" w:rsidRPr="00F63362" w:rsidRDefault="00112509" w:rsidP="00112509">
            <w:pPr>
              <w:rPr>
                <w:rFonts w:ascii="Garamond" w:hAnsi="Garamond" w:cs="Times New Roman"/>
              </w:rPr>
            </w:pPr>
            <w:r w:rsidRPr="00F63362">
              <w:rPr>
                <w:rFonts w:ascii="Garamond" w:hAnsi="Garamond" w:cs="Times New Roman"/>
              </w:rPr>
              <w:t>Subscription Close</w:t>
            </w:r>
          </w:p>
        </w:tc>
        <w:tc>
          <w:tcPr>
            <w:tcW w:w="6197" w:type="dxa"/>
          </w:tcPr>
          <w:p w14:paraId="588088D6" w14:textId="42F1A0A4" w:rsidR="00112509" w:rsidRPr="00F63362" w:rsidRDefault="00FC769B" w:rsidP="00112509">
            <w:pPr>
              <w:rPr>
                <w:rFonts w:ascii="Garamond" w:hAnsi="Garamond" w:cs="Times New Roman"/>
              </w:rPr>
            </w:pPr>
            <w:r w:rsidRPr="00F63362">
              <w:rPr>
                <w:rFonts w:ascii="Garamond" w:hAnsi="Garamond" w:cs="Times New Roman"/>
              </w:rPr>
              <w:t>January 18, 2021</w:t>
            </w:r>
          </w:p>
        </w:tc>
      </w:tr>
      <w:tr w:rsidR="00FC769B" w:rsidRPr="00F63362" w14:paraId="446120DF" w14:textId="77777777" w:rsidTr="00B33EE5">
        <w:trPr>
          <w:trHeight w:val="326"/>
        </w:trPr>
        <w:tc>
          <w:tcPr>
            <w:tcW w:w="3595" w:type="dxa"/>
          </w:tcPr>
          <w:p w14:paraId="2762F134" w14:textId="5ED0C91D" w:rsidR="00FC769B" w:rsidRPr="00F63362" w:rsidRDefault="00FC769B" w:rsidP="00112509">
            <w:pPr>
              <w:rPr>
                <w:rFonts w:ascii="Garamond" w:hAnsi="Garamond" w:cs="Times New Roman"/>
              </w:rPr>
            </w:pPr>
            <w:r w:rsidRPr="00F63362">
              <w:rPr>
                <w:rFonts w:ascii="Garamond" w:hAnsi="Garamond" w:cs="Times New Roman"/>
              </w:rPr>
              <w:t>Minimum Investment for EIS</w:t>
            </w:r>
          </w:p>
        </w:tc>
        <w:tc>
          <w:tcPr>
            <w:tcW w:w="6197" w:type="dxa"/>
          </w:tcPr>
          <w:p w14:paraId="19CC0ED1" w14:textId="2BF7A8D8" w:rsidR="00FC769B" w:rsidRPr="00F63362" w:rsidRDefault="00FC769B" w:rsidP="00112509">
            <w:pPr>
              <w:rPr>
                <w:rFonts w:ascii="Garamond" w:hAnsi="Garamond" w:cs="Times New Roman"/>
              </w:rPr>
            </w:pPr>
            <w:r w:rsidRPr="00F63362">
              <w:rPr>
                <w:rFonts w:ascii="Garamond" w:hAnsi="Garamond" w:cs="Times New Roman"/>
              </w:rPr>
              <w:t>For approved pension funds, recognized provident funds and approved gratuity funds BDT 50,00,000 (Market Price). For other EIs BDT 1,00,00,000 (Market Price).</w:t>
            </w:r>
          </w:p>
        </w:tc>
      </w:tr>
      <w:tr w:rsidR="000C6008" w:rsidRPr="00F63362" w14:paraId="450DAF4B" w14:textId="77777777" w:rsidTr="00B33EE5">
        <w:trPr>
          <w:trHeight w:val="326"/>
        </w:trPr>
        <w:tc>
          <w:tcPr>
            <w:tcW w:w="3595" w:type="dxa"/>
          </w:tcPr>
          <w:p w14:paraId="2652E22E" w14:textId="63592C6C" w:rsidR="00112509" w:rsidRPr="00F63362" w:rsidRDefault="00112509" w:rsidP="00112509">
            <w:pPr>
              <w:rPr>
                <w:rFonts w:ascii="Garamond" w:hAnsi="Garamond" w:cs="Times New Roman"/>
              </w:rPr>
            </w:pPr>
            <w:r w:rsidRPr="00F63362">
              <w:rPr>
                <w:rFonts w:ascii="Garamond" w:hAnsi="Garamond" w:cs="Times New Roman"/>
              </w:rPr>
              <w:t>Security Trading Code</w:t>
            </w:r>
          </w:p>
        </w:tc>
        <w:tc>
          <w:tcPr>
            <w:tcW w:w="6197" w:type="dxa"/>
          </w:tcPr>
          <w:p w14:paraId="54BBD600" w14:textId="14F0D03A" w:rsidR="00112509" w:rsidRPr="00F63362" w:rsidRDefault="00FC769B" w:rsidP="00112509">
            <w:pPr>
              <w:rPr>
                <w:rFonts w:ascii="Garamond" w:hAnsi="Garamond" w:cs="Times New Roman"/>
              </w:rPr>
            </w:pPr>
            <w:r w:rsidRPr="00F63362">
              <w:rPr>
                <w:rFonts w:ascii="Garamond" w:hAnsi="Garamond" w:cs="Times New Roman"/>
              </w:rPr>
              <w:t>EGEN</w:t>
            </w:r>
          </w:p>
        </w:tc>
      </w:tr>
      <w:tr w:rsidR="000C6008" w:rsidRPr="00F63362" w14:paraId="22964DA9" w14:textId="77777777" w:rsidTr="00B33EE5">
        <w:trPr>
          <w:trHeight w:val="326"/>
        </w:trPr>
        <w:tc>
          <w:tcPr>
            <w:tcW w:w="3595" w:type="dxa"/>
          </w:tcPr>
          <w:p w14:paraId="00E27333" w14:textId="77777777" w:rsidR="00112509" w:rsidRPr="00F63362" w:rsidRDefault="00112509" w:rsidP="00112509">
            <w:pPr>
              <w:rPr>
                <w:rFonts w:ascii="Garamond" w:hAnsi="Garamond" w:cs="Times New Roman"/>
              </w:rPr>
            </w:pPr>
            <w:r w:rsidRPr="00F63362">
              <w:rPr>
                <w:rFonts w:ascii="Garamond" w:hAnsi="Garamond" w:cs="Times New Roman"/>
              </w:rPr>
              <w:t>Public Offer of Ordinary Shares</w:t>
            </w:r>
          </w:p>
        </w:tc>
        <w:tc>
          <w:tcPr>
            <w:tcW w:w="6197" w:type="dxa"/>
          </w:tcPr>
          <w:p w14:paraId="0A6A1438" w14:textId="5A94C0C5" w:rsidR="00112509" w:rsidRPr="00F63362" w:rsidRDefault="002B0AD4" w:rsidP="00112509">
            <w:pPr>
              <w:rPr>
                <w:rFonts w:ascii="Garamond" w:hAnsi="Garamond" w:cs="Times New Roman"/>
              </w:rPr>
            </w:pPr>
            <w:r w:rsidRPr="00F63362">
              <w:rPr>
                <w:rFonts w:ascii="Garamond" w:hAnsi="Garamond" w:cs="Times New Roman"/>
              </w:rPr>
              <w:t>1</w:t>
            </w:r>
            <w:r w:rsidR="00FC769B" w:rsidRPr="00F63362">
              <w:rPr>
                <w:rFonts w:ascii="Garamond" w:hAnsi="Garamond" w:cs="Times New Roman"/>
              </w:rPr>
              <w:t>5million</w:t>
            </w:r>
            <w:r w:rsidR="00C94110" w:rsidRPr="00F63362">
              <w:rPr>
                <w:rFonts w:ascii="Garamond" w:hAnsi="Garamond" w:cs="Times New Roman"/>
              </w:rPr>
              <w:t xml:space="preserve"> shares</w:t>
            </w:r>
          </w:p>
        </w:tc>
      </w:tr>
      <w:tr w:rsidR="000C6008" w:rsidRPr="00F63362" w14:paraId="30D05EA2" w14:textId="77777777" w:rsidTr="00B33EE5">
        <w:trPr>
          <w:trHeight w:val="326"/>
        </w:trPr>
        <w:tc>
          <w:tcPr>
            <w:tcW w:w="3595" w:type="dxa"/>
          </w:tcPr>
          <w:p w14:paraId="7B2E1CE7" w14:textId="130CB123" w:rsidR="00112509" w:rsidRPr="00F63362" w:rsidRDefault="00FC769B" w:rsidP="00112509">
            <w:pPr>
              <w:rPr>
                <w:rFonts w:ascii="Garamond" w:hAnsi="Garamond" w:cs="Times New Roman"/>
              </w:rPr>
            </w:pPr>
            <w:r w:rsidRPr="00F63362">
              <w:rPr>
                <w:rFonts w:ascii="Garamond" w:hAnsi="Garamond" w:cs="Times New Roman"/>
              </w:rPr>
              <w:t xml:space="preserve">Issue </w:t>
            </w:r>
            <w:proofErr w:type="gramStart"/>
            <w:r w:rsidRPr="00F63362">
              <w:rPr>
                <w:rFonts w:ascii="Garamond" w:hAnsi="Garamond" w:cs="Times New Roman"/>
              </w:rPr>
              <w:t xml:space="preserve">Price </w:t>
            </w:r>
            <w:r w:rsidR="00112509" w:rsidRPr="00F63362">
              <w:rPr>
                <w:rFonts w:ascii="Garamond" w:hAnsi="Garamond" w:cs="Times New Roman"/>
              </w:rPr>
              <w:t xml:space="preserve"> </w:t>
            </w:r>
            <w:r w:rsidR="00C5364E" w:rsidRPr="00F63362">
              <w:rPr>
                <w:rFonts w:ascii="Garamond" w:hAnsi="Garamond" w:cs="Times New Roman"/>
              </w:rPr>
              <w:t>per</w:t>
            </w:r>
            <w:proofErr w:type="gramEnd"/>
            <w:r w:rsidR="00C5364E" w:rsidRPr="00F63362">
              <w:rPr>
                <w:rFonts w:ascii="Garamond" w:hAnsi="Garamond" w:cs="Times New Roman"/>
              </w:rPr>
              <w:t xml:space="preserve"> share</w:t>
            </w:r>
          </w:p>
        </w:tc>
        <w:tc>
          <w:tcPr>
            <w:tcW w:w="6197" w:type="dxa"/>
          </w:tcPr>
          <w:p w14:paraId="3317BD92" w14:textId="64D94074" w:rsidR="00112509" w:rsidRPr="00F63362" w:rsidRDefault="00112509" w:rsidP="00112509">
            <w:pPr>
              <w:rPr>
                <w:rFonts w:ascii="Garamond" w:hAnsi="Garamond" w:cs="Times New Roman"/>
              </w:rPr>
            </w:pPr>
            <w:r w:rsidRPr="00F63362">
              <w:rPr>
                <w:rFonts w:ascii="Garamond" w:hAnsi="Garamond" w:cs="Times New Roman"/>
              </w:rPr>
              <w:t xml:space="preserve">Tk. </w:t>
            </w:r>
            <w:r w:rsidR="00FC769B" w:rsidRPr="00F63362">
              <w:rPr>
                <w:rFonts w:ascii="Garamond" w:hAnsi="Garamond" w:cs="Times New Roman"/>
              </w:rPr>
              <w:t>10</w:t>
            </w:r>
            <w:r w:rsidRPr="00F63362">
              <w:rPr>
                <w:rFonts w:ascii="Garamond" w:hAnsi="Garamond" w:cs="Times New Roman"/>
              </w:rPr>
              <w:t xml:space="preserve"> each</w:t>
            </w:r>
            <w:r w:rsidR="00461DB0" w:rsidRPr="00F63362">
              <w:rPr>
                <w:rFonts w:ascii="Garamond" w:hAnsi="Garamond" w:cs="Times New Roman"/>
              </w:rPr>
              <w:t xml:space="preserve"> </w:t>
            </w:r>
            <w:r w:rsidR="00FC769B" w:rsidRPr="00F63362">
              <w:rPr>
                <w:rFonts w:ascii="Garamond" w:hAnsi="Garamond" w:cs="Times New Roman"/>
              </w:rPr>
              <w:t>at par</w:t>
            </w:r>
          </w:p>
        </w:tc>
      </w:tr>
      <w:tr w:rsidR="000C6008" w:rsidRPr="00F63362" w14:paraId="0FDC08CE" w14:textId="77777777" w:rsidTr="00B33EE5">
        <w:trPr>
          <w:trHeight w:val="326"/>
        </w:trPr>
        <w:tc>
          <w:tcPr>
            <w:tcW w:w="3595" w:type="dxa"/>
          </w:tcPr>
          <w:p w14:paraId="44CB4977" w14:textId="77777777" w:rsidR="00112509" w:rsidRPr="00F63362" w:rsidRDefault="00112509" w:rsidP="00112509">
            <w:pPr>
              <w:rPr>
                <w:rFonts w:ascii="Garamond" w:hAnsi="Garamond" w:cs="Times New Roman"/>
              </w:rPr>
            </w:pPr>
            <w:r w:rsidRPr="00F63362">
              <w:rPr>
                <w:rFonts w:ascii="Garamond" w:hAnsi="Garamond" w:cs="Times New Roman"/>
              </w:rPr>
              <w:t>Authorized Capital</w:t>
            </w:r>
          </w:p>
        </w:tc>
        <w:tc>
          <w:tcPr>
            <w:tcW w:w="6197" w:type="dxa"/>
          </w:tcPr>
          <w:p w14:paraId="45CE2130" w14:textId="77B0DBB4" w:rsidR="00112509" w:rsidRPr="00F63362" w:rsidRDefault="00112509" w:rsidP="00112509">
            <w:pPr>
              <w:rPr>
                <w:rFonts w:ascii="Garamond" w:hAnsi="Garamond" w:cs="Times New Roman"/>
              </w:rPr>
            </w:pPr>
            <w:r w:rsidRPr="00F63362">
              <w:rPr>
                <w:rFonts w:ascii="Garamond" w:hAnsi="Garamond" w:cs="Times New Roman"/>
              </w:rPr>
              <w:t xml:space="preserve">Tk. </w:t>
            </w:r>
            <w:r w:rsidR="00FC769B" w:rsidRPr="00F63362">
              <w:rPr>
                <w:rFonts w:ascii="Garamond" w:hAnsi="Garamond" w:cs="Times New Roman"/>
              </w:rPr>
              <w:t xml:space="preserve">1,000.00 </w:t>
            </w:r>
            <w:proofErr w:type="spellStart"/>
            <w:r w:rsidR="00FC769B" w:rsidRPr="00F63362">
              <w:rPr>
                <w:rFonts w:ascii="Garamond" w:hAnsi="Garamond" w:cs="Times New Roman"/>
              </w:rPr>
              <w:t>mn</w:t>
            </w:r>
            <w:proofErr w:type="spellEnd"/>
          </w:p>
        </w:tc>
      </w:tr>
      <w:tr w:rsidR="000C6008" w:rsidRPr="00F63362" w14:paraId="498C0E68" w14:textId="77777777" w:rsidTr="00B33EE5">
        <w:trPr>
          <w:trHeight w:val="326"/>
        </w:trPr>
        <w:tc>
          <w:tcPr>
            <w:tcW w:w="3595" w:type="dxa"/>
          </w:tcPr>
          <w:p w14:paraId="074A7C90" w14:textId="77777777" w:rsidR="00112509" w:rsidRPr="00F63362" w:rsidRDefault="00112509" w:rsidP="00112509">
            <w:pPr>
              <w:rPr>
                <w:rFonts w:ascii="Garamond" w:hAnsi="Garamond" w:cs="Times New Roman"/>
              </w:rPr>
            </w:pPr>
            <w:r w:rsidRPr="00F63362">
              <w:rPr>
                <w:rFonts w:ascii="Garamond" w:hAnsi="Garamond" w:cs="Times New Roman"/>
              </w:rPr>
              <w:t>Pre-IPO Paid-up Capital</w:t>
            </w:r>
          </w:p>
        </w:tc>
        <w:tc>
          <w:tcPr>
            <w:tcW w:w="6197" w:type="dxa"/>
          </w:tcPr>
          <w:p w14:paraId="4F995CDB" w14:textId="747FF483" w:rsidR="00112509" w:rsidRPr="00F63362" w:rsidRDefault="00112509" w:rsidP="00112509">
            <w:pPr>
              <w:rPr>
                <w:rFonts w:ascii="Garamond" w:hAnsi="Garamond" w:cs="Times New Roman"/>
              </w:rPr>
            </w:pPr>
            <w:r w:rsidRPr="00F63362">
              <w:rPr>
                <w:rFonts w:ascii="Garamond" w:hAnsi="Garamond" w:cs="Times New Roman"/>
              </w:rPr>
              <w:t xml:space="preserve">Tk. </w:t>
            </w:r>
            <w:r w:rsidR="00FC769B" w:rsidRPr="00F63362">
              <w:rPr>
                <w:rFonts w:ascii="Garamond" w:hAnsi="Garamond" w:cs="Times New Roman"/>
              </w:rPr>
              <w:t>600.00</w:t>
            </w:r>
            <w:r w:rsidR="002B0AD4" w:rsidRPr="00F63362">
              <w:rPr>
                <w:rFonts w:ascii="Garamond" w:hAnsi="Garamond" w:cs="Times New Roman"/>
              </w:rPr>
              <w:t xml:space="preserve"> </w:t>
            </w:r>
            <w:proofErr w:type="spellStart"/>
            <w:r w:rsidR="002B0AD4" w:rsidRPr="00F63362">
              <w:rPr>
                <w:rFonts w:ascii="Garamond" w:hAnsi="Garamond" w:cs="Times New Roman"/>
              </w:rPr>
              <w:t>m</w:t>
            </w:r>
            <w:r w:rsidRPr="00F63362">
              <w:rPr>
                <w:rFonts w:ascii="Garamond" w:hAnsi="Garamond" w:cs="Times New Roman"/>
              </w:rPr>
              <w:t>n</w:t>
            </w:r>
            <w:proofErr w:type="spellEnd"/>
          </w:p>
        </w:tc>
      </w:tr>
      <w:tr w:rsidR="000C6008" w:rsidRPr="00F63362" w14:paraId="3D7DC843" w14:textId="77777777" w:rsidTr="00B33EE5">
        <w:trPr>
          <w:trHeight w:val="326"/>
        </w:trPr>
        <w:tc>
          <w:tcPr>
            <w:tcW w:w="3595" w:type="dxa"/>
          </w:tcPr>
          <w:p w14:paraId="1D118540" w14:textId="77777777" w:rsidR="00112509" w:rsidRPr="00F63362" w:rsidRDefault="00112509" w:rsidP="00112509">
            <w:pPr>
              <w:rPr>
                <w:rFonts w:ascii="Garamond" w:hAnsi="Garamond" w:cs="Times New Roman"/>
              </w:rPr>
            </w:pPr>
            <w:r w:rsidRPr="00F63362">
              <w:rPr>
                <w:rFonts w:ascii="Garamond" w:hAnsi="Garamond" w:cs="Times New Roman"/>
              </w:rPr>
              <w:t xml:space="preserve">IPO Size </w:t>
            </w:r>
          </w:p>
        </w:tc>
        <w:tc>
          <w:tcPr>
            <w:tcW w:w="6197" w:type="dxa"/>
          </w:tcPr>
          <w:p w14:paraId="44319715" w14:textId="7BB5B22E" w:rsidR="00112509" w:rsidRPr="00F63362" w:rsidRDefault="00112509" w:rsidP="00112509">
            <w:pPr>
              <w:rPr>
                <w:rFonts w:ascii="Garamond" w:hAnsi="Garamond" w:cs="Times New Roman"/>
              </w:rPr>
            </w:pPr>
            <w:r w:rsidRPr="00F63362">
              <w:rPr>
                <w:rFonts w:ascii="Garamond" w:hAnsi="Garamond" w:cs="Times New Roman"/>
              </w:rPr>
              <w:t xml:space="preserve">Tk. </w:t>
            </w:r>
            <w:r w:rsidR="00FC769B" w:rsidRPr="00F63362">
              <w:rPr>
                <w:rFonts w:ascii="Garamond" w:hAnsi="Garamond" w:cs="Times New Roman"/>
              </w:rPr>
              <w:t>15</w:t>
            </w:r>
            <w:r w:rsidR="002B0AD4" w:rsidRPr="00F63362">
              <w:rPr>
                <w:rFonts w:ascii="Garamond" w:hAnsi="Garamond" w:cs="Times New Roman"/>
              </w:rPr>
              <w:t>0</w:t>
            </w:r>
            <w:r w:rsidR="00733C6A" w:rsidRPr="00F63362">
              <w:rPr>
                <w:rFonts w:ascii="Garamond" w:hAnsi="Garamond" w:cs="Times New Roman"/>
              </w:rPr>
              <w:t xml:space="preserve">.00 </w:t>
            </w:r>
            <w:proofErr w:type="spellStart"/>
            <w:r w:rsidR="002B0AD4" w:rsidRPr="00F63362">
              <w:rPr>
                <w:rFonts w:ascii="Garamond" w:hAnsi="Garamond" w:cs="Times New Roman"/>
              </w:rPr>
              <w:t>mn</w:t>
            </w:r>
            <w:proofErr w:type="spellEnd"/>
          </w:p>
        </w:tc>
      </w:tr>
      <w:tr w:rsidR="000C6008" w:rsidRPr="00F63362" w14:paraId="6BC81EAB" w14:textId="77777777" w:rsidTr="00B33EE5">
        <w:trPr>
          <w:trHeight w:val="326"/>
        </w:trPr>
        <w:tc>
          <w:tcPr>
            <w:tcW w:w="3595" w:type="dxa"/>
          </w:tcPr>
          <w:p w14:paraId="1D787EB2" w14:textId="77777777" w:rsidR="00112509" w:rsidRPr="00F63362" w:rsidRDefault="00112509" w:rsidP="00112509">
            <w:pPr>
              <w:rPr>
                <w:rFonts w:ascii="Garamond" w:hAnsi="Garamond" w:cs="Times New Roman"/>
              </w:rPr>
            </w:pPr>
            <w:r w:rsidRPr="00F63362">
              <w:rPr>
                <w:rFonts w:ascii="Garamond" w:hAnsi="Garamond" w:cs="Times New Roman"/>
              </w:rPr>
              <w:t>Post IPO Paid-up Capital</w:t>
            </w:r>
          </w:p>
        </w:tc>
        <w:tc>
          <w:tcPr>
            <w:tcW w:w="6197" w:type="dxa"/>
          </w:tcPr>
          <w:p w14:paraId="32A129AA" w14:textId="4BF4CB3C" w:rsidR="00112509" w:rsidRPr="00F63362" w:rsidRDefault="00112509" w:rsidP="00112509">
            <w:pPr>
              <w:rPr>
                <w:rFonts w:ascii="Garamond" w:hAnsi="Garamond" w:cs="Times New Roman"/>
              </w:rPr>
            </w:pPr>
            <w:r w:rsidRPr="00F63362">
              <w:rPr>
                <w:rFonts w:ascii="Garamond" w:hAnsi="Garamond" w:cs="Times New Roman"/>
              </w:rPr>
              <w:t xml:space="preserve">Tk. </w:t>
            </w:r>
            <w:r w:rsidR="00FC769B" w:rsidRPr="00F63362">
              <w:rPr>
                <w:rFonts w:ascii="Garamond" w:hAnsi="Garamond" w:cs="Times New Roman"/>
              </w:rPr>
              <w:t>750.00</w:t>
            </w:r>
            <w:r w:rsidR="002B0AD4" w:rsidRPr="00F63362">
              <w:rPr>
                <w:rFonts w:ascii="Garamond" w:hAnsi="Garamond" w:cs="Times New Roman"/>
              </w:rPr>
              <w:t>mn</w:t>
            </w:r>
          </w:p>
        </w:tc>
      </w:tr>
      <w:tr w:rsidR="000C6008" w:rsidRPr="00F63362" w14:paraId="3A447882" w14:textId="77777777" w:rsidTr="00B33EE5">
        <w:trPr>
          <w:trHeight w:val="359"/>
        </w:trPr>
        <w:tc>
          <w:tcPr>
            <w:tcW w:w="3595" w:type="dxa"/>
          </w:tcPr>
          <w:p w14:paraId="774D83FF" w14:textId="7D519EC6" w:rsidR="00112509" w:rsidRPr="00F63362" w:rsidRDefault="00112509" w:rsidP="00112509">
            <w:pPr>
              <w:rPr>
                <w:rFonts w:ascii="Garamond" w:hAnsi="Garamond" w:cs="Times New Roman"/>
              </w:rPr>
            </w:pPr>
            <w:r w:rsidRPr="00F63362">
              <w:rPr>
                <w:rFonts w:ascii="Garamond" w:hAnsi="Garamond" w:cs="Times New Roman"/>
              </w:rPr>
              <w:t>Min. size for IPO subscription (per lot)</w:t>
            </w:r>
          </w:p>
        </w:tc>
        <w:tc>
          <w:tcPr>
            <w:tcW w:w="6197" w:type="dxa"/>
          </w:tcPr>
          <w:p w14:paraId="73CDD3D5" w14:textId="00A96D0E" w:rsidR="00112509" w:rsidRPr="00F63362" w:rsidRDefault="00FC769B" w:rsidP="00112509">
            <w:pPr>
              <w:rPr>
                <w:rFonts w:ascii="Garamond" w:hAnsi="Garamond" w:cs="Times New Roman"/>
              </w:rPr>
            </w:pPr>
            <w:r w:rsidRPr="00F63362">
              <w:rPr>
                <w:rFonts w:ascii="Garamond" w:hAnsi="Garamond" w:cs="Times New Roman"/>
              </w:rPr>
              <w:t>5</w:t>
            </w:r>
            <w:r w:rsidR="00112509" w:rsidRPr="00F63362">
              <w:rPr>
                <w:rFonts w:ascii="Garamond" w:hAnsi="Garamond" w:cs="Times New Roman"/>
              </w:rPr>
              <w:t>00</w:t>
            </w:r>
          </w:p>
        </w:tc>
      </w:tr>
      <w:tr w:rsidR="00F158F3" w:rsidRPr="00F63362" w14:paraId="32485C7A" w14:textId="77777777" w:rsidTr="00B33EE5">
        <w:trPr>
          <w:trHeight w:val="359"/>
        </w:trPr>
        <w:tc>
          <w:tcPr>
            <w:tcW w:w="3595" w:type="dxa"/>
          </w:tcPr>
          <w:p w14:paraId="3B350B00" w14:textId="382FC000" w:rsidR="00F158F3" w:rsidRPr="00F63362" w:rsidRDefault="00F158F3" w:rsidP="00112509">
            <w:pPr>
              <w:rPr>
                <w:rFonts w:ascii="Garamond" w:hAnsi="Garamond" w:cs="Times New Roman"/>
              </w:rPr>
            </w:pPr>
            <w:r w:rsidRPr="00F63362">
              <w:rPr>
                <w:rFonts w:ascii="Garamond" w:hAnsi="Garamond" w:cs="Times New Roman"/>
              </w:rPr>
              <w:t>Foreign Currency required for NRB and Foreign Applicants (per lot)</w:t>
            </w:r>
          </w:p>
        </w:tc>
        <w:tc>
          <w:tcPr>
            <w:tcW w:w="6197" w:type="dxa"/>
          </w:tcPr>
          <w:p w14:paraId="7CF3DBE8" w14:textId="08C81528" w:rsidR="00F158F3" w:rsidRPr="00F63362" w:rsidRDefault="00FC769B" w:rsidP="00112509">
            <w:pPr>
              <w:rPr>
                <w:rFonts w:ascii="Garamond" w:hAnsi="Garamond" w:cs="Times New Roman"/>
              </w:rPr>
            </w:pPr>
            <w:r w:rsidRPr="00F63362">
              <w:rPr>
                <w:rFonts w:ascii="Garamond" w:hAnsi="Garamond" w:cs="Times New Roman"/>
              </w:rPr>
              <w:t>USD 59.39 or Pound 44.69 or EUR 49.21</w:t>
            </w:r>
          </w:p>
        </w:tc>
      </w:tr>
      <w:tr w:rsidR="000C6008" w:rsidRPr="00F63362" w14:paraId="0BD9DCAE" w14:textId="77777777" w:rsidTr="00B33EE5">
        <w:trPr>
          <w:trHeight w:val="2087"/>
        </w:trPr>
        <w:tc>
          <w:tcPr>
            <w:tcW w:w="3595" w:type="dxa"/>
          </w:tcPr>
          <w:p w14:paraId="5F1738E0" w14:textId="77777777" w:rsidR="00112509" w:rsidRPr="00F63362" w:rsidRDefault="00112509" w:rsidP="00112509">
            <w:pPr>
              <w:rPr>
                <w:rFonts w:ascii="Garamond" w:hAnsi="Garamond" w:cs="Times New Roman"/>
              </w:rPr>
            </w:pPr>
            <w:r w:rsidRPr="00F63362">
              <w:rPr>
                <w:rFonts w:ascii="Garamond" w:hAnsi="Garamond" w:cs="Times New Roman"/>
              </w:rPr>
              <w:t>Use of IPO proceeds</w:t>
            </w:r>
          </w:p>
        </w:tc>
        <w:tc>
          <w:tcPr>
            <w:tcW w:w="6197" w:type="dxa"/>
          </w:tcPr>
          <w:tbl>
            <w:tblPr>
              <w:tblStyle w:val="TableGrid"/>
              <w:tblW w:w="0" w:type="auto"/>
              <w:tblInd w:w="3" w:type="dxa"/>
              <w:tblLook w:val="04A0" w:firstRow="1" w:lastRow="0" w:firstColumn="1" w:lastColumn="0" w:noHBand="0" w:noVBand="1"/>
            </w:tblPr>
            <w:tblGrid>
              <w:gridCol w:w="3485"/>
              <w:gridCol w:w="2483"/>
            </w:tblGrid>
            <w:tr w:rsidR="00B2064D" w:rsidRPr="00F63362" w14:paraId="71538C47" w14:textId="77777777" w:rsidTr="00B2064D">
              <w:trPr>
                <w:trHeight w:val="326"/>
              </w:trPr>
              <w:tc>
                <w:tcPr>
                  <w:tcW w:w="3580" w:type="dxa"/>
                </w:tcPr>
                <w:p w14:paraId="18EDCCA8" w14:textId="77777777" w:rsidR="00112509" w:rsidRPr="00F63362" w:rsidRDefault="00112509" w:rsidP="00112509">
                  <w:pPr>
                    <w:rPr>
                      <w:rFonts w:ascii="Garamond" w:hAnsi="Garamond" w:cs="Times New Roman"/>
                    </w:rPr>
                  </w:pPr>
                  <w:r w:rsidRPr="00F63362">
                    <w:rPr>
                      <w:rFonts w:ascii="Garamond" w:hAnsi="Garamond" w:cs="Times New Roman"/>
                    </w:rPr>
                    <w:t>Particulars</w:t>
                  </w:r>
                </w:p>
              </w:tc>
              <w:tc>
                <w:tcPr>
                  <w:tcW w:w="2517" w:type="dxa"/>
                </w:tcPr>
                <w:p w14:paraId="75D1165B" w14:textId="7890179F" w:rsidR="00112509" w:rsidRPr="00F63362" w:rsidRDefault="00B33EE5" w:rsidP="00112509">
                  <w:pPr>
                    <w:rPr>
                      <w:rFonts w:ascii="Garamond" w:hAnsi="Garamond" w:cs="Times New Roman"/>
                    </w:rPr>
                  </w:pPr>
                  <w:r w:rsidRPr="00F63362">
                    <w:rPr>
                      <w:rFonts w:ascii="Garamond" w:hAnsi="Garamond" w:cs="Times New Roman"/>
                    </w:rPr>
                    <w:t xml:space="preserve">    </w:t>
                  </w:r>
                  <w:r w:rsidR="00112509" w:rsidRPr="00F63362">
                    <w:rPr>
                      <w:rFonts w:ascii="Garamond" w:hAnsi="Garamond" w:cs="Times New Roman"/>
                    </w:rPr>
                    <w:t>Amount (BDT)</w:t>
                  </w:r>
                </w:p>
              </w:tc>
            </w:tr>
            <w:tr w:rsidR="00B2064D" w:rsidRPr="00F63362" w14:paraId="43D64AE5" w14:textId="77777777" w:rsidTr="00B2064D">
              <w:trPr>
                <w:trHeight w:val="326"/>
              </w:trPr>
              <w:tc>
                <w:tcPr>
                  <w:tcW w:w="3580" w:type="dxa"/>
                </w:tcPr>
                <w:p w14:paraId="2D397D4D" w14:textId="4DF199CF" w:rsidR="00112509" w:rsidRPr="00F63362" w:rsidRDefault="00FC769B" w:rsidP="00112509">
                  <w:pPr>
                    <w:rPr>
                      <w:rFonts w:ascii="Garamond" w:hAnsi="Garamond" w:cs="Times New Roman"/>
                    </w:rPr>
                  </w:pPr>
                  <w:r w:rsidRPr="00F63362">
                    <w:rPr>
                      <w:rFonts w:ascii="Garamond" w:hAnsi="Garamond" w:cs="Times New Roman"/>
                    </w:rPr>
                    <w:t>Purchase of Commercial Space for Office</w:t>
                  </w:r>
                </w:p>
              </w:tc>
              <w:tc>
                <w:tcPr>
                  <w:tcW w:w="2517" w:type="dxa"/>
                </w:tcPr>
                <w:p w14:paraId="1188B00B" w14:textId="6796282D" w:rsidR="00112509" w:rsidRPr="00F63362" w:rsidRDefault="00112509" w:rsidP="00B2064D">
                  <w:pPr>
                    <w:jc w:val="right"/>
                    <w:rPr>
                      <w:rFonts w:ascii="Garamond" w:hAnsi="Garamond" w:cs="Times New Roman"/>
                    </w:rPr>
                  </w:pPr>
                  <w:r w:rsidRPr="00F63362">
                    <w:rPr>
                      <w:rFonts w:ascii="Garamond" w:hAnsi="Garamond" w:cs="Times New Roman"/>
                    </w:rPr>
                    <w:t xml:space="preserve">   </w:t>
                  </w:r>
                  <w:r w:rsidR="00FC769B" w:rsidRPr="00F63362">
                    <w:rPr>
                      <w:rFonts w:ascii="Garamond" w:hAnsi="Garamond" w:cs="Times New Roman"/>
                    </w:rPr>
                    <w:t>80.00</w:t>
                  </w:r>
                  <w:r w:rsidRPr="00F63362">
                    <w:rPr>
                      <w:rFonts w:ascii="Garamond" w:hAnsi="Garamond" w:cs="Times New Roman"/>
                    </w:rPr>
                    <w:t>mn (</w:t>
                  </w:r>
                  <w:r w:rsidR="00B2064D" w:rsidRPr="00F63362">
                    <w:rPr>
                      <w:rFonts w:ascii="Garamond" w:hAnsi="Garamond" w:cs="Times New Roman"/>
                    </w:rPr>
                    <w:t>5</w:t>
                  </w:r>
                  <w:r w:rsidR="00C45C25" w:rsidRPr="00F63362">
                    <w:rPr>
                      <w:rFonts w:ascii="Garamond" w:hAnsi="Garamond" w:cs="Times New Roman"/>
                    </w:rPr>
                    <w:t>3.33</w:t>
                  </w:r>
                  <w:r w:rsidRPr="00F63362">
                    <w:rPr>
                      <w:rFonts w:ascii="Garamond" w:hAnsi="Garamond" w:cs="Times New Roman"/>
                    </w:rPr>
                    <w:t>%)</w:t>
                  </w:r>
                </w:p>
              </w:tc>
            </w:tr>
            <w:tr w:rsidR="00B2064D" w:rsidRPr="00F63362" w14:paraId="0C2826D2" w14:textId="77777777" w:rsidTr="00B2064D">
              <w:trPr>
                <w:trHeight w:val="368"/>
              </w:trPr>
              <w:tc>
                <w:tcPr>
                  <w:tcW w:w="3580" w:type="dxa"/>
                </w:tcPr>
                <w:p w14:paraId="0F04162D" w14:textId="29E8E88B" w:rsidR="00112509" w:rsidRPr="00F63362" w:rsidRDefault="00FC769B" w:rsidP="00112509">
                  <w:pPr>
                    <w:rPr>
                      <w:rFonts w:ascii="Garamond" w:hAnsi="Garamond" w:cs="Times New Roman"/>
                    </w:rPr>
                  </w:pPr>
                  <w:r w:rsidRPr="00F63362">
                    <w:rPr>
                      <w:rFonts w:ascii="Garamond" w:hAnsi="Garamond" w:cs="Times New Roman"/>
                    </w:rPr>
                    <w:t>Digital Healthcare Platform Development</w:t>
                  </w:r>
                </w:p>
              </w:tc>
              <w:tc>
                <w:tcPr>
                  <w:tcW w:w="2517" w:type="dxa"/>
                </w:tcPr>
                <w:p w14:paraId="2AD36DCD" w14:textId="1C5F9E11" w:rsidR="00112509" w:rsidRPr="00F63362" w:rsidRDefault="007A694A" w:rsidP="00B2064D">
                  <w:pPr>
                    <w:jc w:val="right"/>
                    <w:rPr>
                      <w:rFonts w:ascii="Garamond" w:hAnsi="Garamond" w:cs="Times New Roman"/>
                    </w:rPr>
                  </w:pPr>
                  <w:r w:rsidRPr="00F63362">
                    <w:rPr>
                      <w:rFonts w:ascii="Garamond" w:hAnsi="Garamond" w:cs="Times New Roman"/>
                    </w:rPr>
                    <w:t xml:space="preserve">   </w:t>
                  </w:r>
                  <w:r w:rsidR="00B2064D" w:rsidRPr="00F63362">
                    <w:rPr>
                      <w:rFonts w:ascii="Garamond" w:hAnsi="Garamond" w:cs="Times New Roman"/>
                    </w:rPr>
                    <w:t xml:space="preserve"> </w:t>
                  </w:r>
                  <w:r w:rsidR="00FC769B" w:rsidRPr="00F63362">
                    <w:rPr>
                      <w:rFonts w:ascii="Garamond" w:hAnsi="Garamond" w:cs="Times New Roman"/>
                    </w:rPr>
                    <w:t xml:space="preserve">18.39mn </w:t>
                  </w:r>
                  <w:r w:rsidR="00112509" w:rsidRPr="00F63362">
                    <w:rPr>
                      <w:rFonts w:ascii="Garamond" w:hAnsi="Garamond" w:cs="Times New Roman"/>
                    </w:rPr>
                    <w:t>(</w:t>
                  </w:r>
                  <w:r w:rsidR="00B2064D" w:rsidRPr="00F63362">
                    <w:rPr>
                      <w:rFonts w:ascii="Garamond" w:hAnsi="Garamond" w:cs="Times New Roman"/>
                    </w:rPr>
                    <w:t>1</w:t>
                  </w:r>
                  <w:r w:rsidR="00C45C25" w:rsidRPr="00F63362">
                    <w:rPr>
                      <w:rFonts w:ascii="Garamond" w:hAnsi="Garamond" w:cs="Times New Roman"/>
                    </w:rPr>
                    <w:t>2.26</w:t>
                  </w:r>
                  <w:r w:rsidR="00112509" w:rsidRPr="00F63362">
                    <w:rPr>
                      <w:rFonts w:ascii="Garamond" w:hAnsi="Garamond" w:cs="Times New Roman"/>
                    </w:rPr>
                    <w:t>%)</w:t>
                  </w:r>
                </w:p>
              </w:tc>
            </w:tr>
            <w:tr w:rsidR="00B2064D" w:rsidRPr="00F63362" w14:paraId="79CA2D22" w14:textId="77777777" w:rsidTr="00B2064D">
              <w:trPr>
                <w:trHeight w:val="368"/>
              </w:trPr>
              <w:tc>
                <w:tcPr>
                  <w:tcW w:w="3580" w:type="dxa"/>
                </w:tcPr>
                <w:p w14:paraId="0E1624C3" w14:textId="5C6D75EA" w:rsidR="00733C6A" w:rsidRPr="00F63362" w:rsidRDefault="00733C6A" w:rsidP="00112509">
                  <w:pPr>
                    <w:rPr>
                      <w:rFonts w:ascii="Garamond" w:hAnsi="Garamond" w:cs="Times New Roman"/>
                    </w:rPr>
                  </w:pPr>
                  <w:r w:rsidRPr="00F63362">
                    <w:rPr>
                      <w:rFonts w:ascii="Garamond" w:hAnsi="Garamond" w:cs="Times New Roman"/>
                    </w:rPr>
                    <w:t>Loan Repayment</w:t>
                  </w:r>
                </w:p>
              </w:tc>
              <w:tc>
                <w:tcPr>
                  <w:tcW w:w="2517" w:type="dxa"/>
                </w:tcPr>
                <w:p w14:paraId="028D1779" w14:textId="07AF4373" w:rsidR="00733C6A" w:rsidRPr="00F63362" w:rsidRDefault="00FC769B" w:rsidP="00B2064D">
                  <w:pPr>
                    <w:jc w:val="right"/>
                    <w:rPr>
                      <w:rFonts w:ascii="Garamond" w:hAnsi="Garamond" w:cs="Times New Roman"/>
                    </w:rPr>
                  </w:pPr>
                  <w:r w:rsidRPr="00F63362">
                    <w:rPr>
                      <w:rFonts w:ascii="Garamond" w:hAnsi="Garamond" w:cs="Times New Roman"/>
                    </w:rPr>
                    <w:t>34.00</w:t>
                  </w:r>
                  <w:proofErr w:type="gramStart"/>
                  <w:r w:rsidRPr="00F63362">
                    <w:rPr>
                      <w:rFonts w:ascii="Garamond" w:hAnsi="Garamond" w:cs="Times New Roman"/>
                    </w:rPr>
                    <w:t>mn</w:t>
                  </w:r>
                  <w:r w:rsidR="00B2064D" w:rsidRPr="00F63362">
                    <w:rPr>
                      <w:rFonts w:ascii="Garamond" w:hAnsi="Garamond" w:cs="Times New Roman"/>
                    </w:rPr>
                    <w:t>(</w:t>
                  </w:r>
                  <w:proofErr w:type="gramEnd"/>
                  <w:r w:rsidR="00B2064D" w:rsidRPr="00F63362">
                    <w:rPr>
                      <w:rFonts w:ascii="Garamond" w:hAnsi="Garamond" w:cs="Times New Roman"/>
                    </w:rPr>
                    <w:t>2</w:t>
                  </w:r>
                  <w:r w:rsidR="00C45C25" w:rsidRPr="00F63362">
                    <w:rPr>
                      <w:rFonts w:ascii="Garamond" w:hAnsi="Garamond" w:cs="Times New Roman"/>
                    </w:rPr>
                    <w:t>2.67</w:t>
                  </w:r>
                  <w:r w:rsidR="00B2064D" w:rsidRPr="00F63362">
                    <w:rPr>
                      <w:rFonts w:ascii="Garamond" w:hAnsi="Garamond" w:cs="Times New Roman"/>
                    </w:rPr>
                    <w:t>%)</w:t>
                  </w:r>
                </w:p>
              </w:tc>
            </w:tr>
            <w:tr w:rsidR="00B2064D" w:rsidRPr="00F63362" w14:paraId="69EF89FE" w14:textId="77777777" w:rsidTr="00B2064D">
              <w:trPr>
                <w:trHeight w:val="313"/>
              </w:trPr>
              <w:tc>
                <w:tcPr>
                  <w:tcW w:w="3580" w:type="dxa"/>
                </w:tcPr>
                <w:p w14:paraId="3ADD40BE" w14:textId="77777777" w:rsidR="00112509" w:rsidRPr="00F63362" w:rsidRDefault="00112509" w:rsidP="00112509">
                  <w:pPr>
                    <w:rPr>
                      <w:rFonts w:ascii="Garamond" w:hAnsi="Garamond" w:cs="Times New Roman"/>
                    </w:rPr>
                  </w:pPr>
                  <w:r w:rsidRPr="00F63362">
                    <w:rPr>
                      <w:rFonts w:ascii="Garamond" w:hAnsi="Garamond" w:cs="Times New Roman"/>
                    </w:rPr>
                    <w:t>IPO Expenses</w:t>
                  </w:r>
                </w:p>
              </w:tc>
              <w:tc>
                <w:tcPr>
                  <w:tcW w:w="2517" w:type="dxa"/>
                </w:tcPr>
                <w:p w14:paraId="55098992" w14:textId="1FE1739E" w:rsidR="00112509" w:rsidRPr="00F63362" w:rsidRDefault="00112509" w:rsidP="00B2064D">
                  <w:pPr>
                    <w:jc w:val="right"/>
                    <w:rPr>
                      <w:rFonts w:ascii="Garamond" w:hAnsi="Garamond" w:cs="Times New Roman"/>
                    </w:rPr>
                  </w:pPr>
                  <w:r w:rsidRPr="00F63362">
                    <w:rPr>
                      <w:rFonts w:ascii="Garamond" w:hAnsi="Garamond" w:cs="Times New Roman"/>
                    </w:rPr>
                    <w:t xml:space="preserve">  </w:t>
                  </w:r>
                  <w:r w:rsidR="007A694A" w:rsidRPr="00F63362">
                    <w:rPr>
                      <w:rFonts w:ascii="Garamond" w:hAnsi="Garamond" w:cs="Times New Roman"/>
                    </w:rPr>
                    <w:t xml:space="preserve">  </w:t>
                  </w:r>
                  <w:r w:rsidR="00FC769B" w:rsidRPr="00F63362">
                    <w:rPr>
                      <w:rFonts w:ascii="Garamond" w:hAnsi="Garamond" w:cs="Times New Roman"/>
                    </w:rPr>
                    <w:t>17.61</w:t>
                  </w:r>
                  <w:r w:rsidRPr="00F63362">
                    <w:rPr>
                      <w:rFonts w:ascii="Garamond" w:hAnsi="Garamond" w:cs="Times New Roman"/>
                    </w:rPr>
                    <w:t>mn (</w:t>
                  </w:r>
                  <w:r w:rsidR="00C45C25" w:rsidRPr="00F63362">
                    <w:rPr>
                      <w:rFonts w:ascii="Garamond" w:hAnsi="Garamond" w:cs="Times New Roman"/>
                    </w:rPr>
                    <w:t>11.74</w:t>
                  </w:r>
                  <w:r w:rsidRPr="00F63362">
                    <w:rPr>
                      <w:rFonts w:ascii="Garamond" w:hAnsi="Garamond" w:cs="Times New Roman"/>
                    </w:rPr>
                    <w:t>%)</w:t>
                  </w:r>
                </w:p>
              </w:tc>
            </w:tr>
            <w:tr w:rsidR="00B2064D" w:rsidRPr="00F63362" w14:paraId="3373CE5F" w14:textId="77777777" w:rsidTr="00B2064D">
              <w:trPr>
                <w:trHeight w:val="326"/>
              </w:trPr>
              <w:tc>
                <w:tcPr>
                  <w:tcW w:w="3580" w:type="dxa"/>
                </w:tcPr>
                <w:p w14:paraId="258DBAF4" w14:textId="77777777" w:rsidR="00112509" w:rsidRPr="00F63362" w:rsidRDefault="00112509" w:rsidP="00112509">
                  <w:pPr>
                    <w:rPr>
                      <w:rFonts w:ascii="Garamond" w:hAnsi="Garamond" w:cs="Times New Roman"/>
                    </w:rPr>
                  </w:pPr>
                  <w:r w:rsidRPr="00F63362">
                    <w:rPr>
                      <w:rFonts w:ascii="Garamond" w:hAnsi="Garamond" w:cs="Times New Roman"/>
                    </w:rPr>
                    <w:t>Total</w:t>
                  </w:r>
                </w:p>
              </w:tc>
              <w:tc>
                <w:tcPr>
                  <w:tcW w:w="2517" w:type="dxa"/>
                </w:tcPr>
                <w:p w14:paraId="4949E8C6" w14:textId="0B60DA7B" w:rsidR="00112509" w:rsidRPr="00F63362" w:rsidRDefault="00B33EE5" w:rsidP="00B2064D">
                  <w:pPr>
                    <w:jc w:val="center"/>
                    <w:rPr>
                      <w:rFonts w:ascii="Garamond" w:hAnsi="Garamond" w:cs="Times New Roman"/>
                    </w:rPr>
                  </w:pPr>
                  <w:r w:rsidRPr="00F63362">
                    <w:rPr>
                      <w:rFonts w:ascii="Garamond" w:hAnsi="Garamond" w:cs="Times New Roman"/>
                    </w:rPr>
                    <w:t xml:space="preserve">     </w:t>
                  </w:r>
                  <w:r w:rsidR="007A694A" w:rsidRPr="00F63362">
                    <w:rPr>
                      <w:rFonts w:ascii="Garamond" w:hAnsi="Garamond" w:cs="Times New Roman"/>
                    </w:rPr>
                    <w:t xml:space="preserve"> </w:t>
                  </w:r>
                  <w:r w:rsidR="00FC769B" w:rsidRPr="00F63362">
                    <w:rPr>
                      <w:rFonts w:ascii="Garamond" w:hAnsi="Garamond" w:cs="Times New Roman"/>
                    </w:rPr>
                    <w:t>15</w:t>
                  </w:r>
                  <w:r w:rsidR="00B2064D" w:rsidRPr="00F63362">
                    <w:rPr>
                      <w:rFonts w:ascii="Garamond" w:hAnsi="Garamond" w:cs="Times New Roman"/>
                    </w:rPr>
                    <w:t>0</w:t>
                  </w:r>
                  <w:r w:rsidR="002B0AD4" w:rsidRPr="00F63362">
                    <w:rPr>
                      <w:rFonts w:ascii="Garamond" w:hAnsi="Garamond" w:cs="Times New Roman"/>
                    </w:rPr>
                    <w:t>.00</w:t>
                  </w:r>
                  <w:r w:rsidR="00112509" w:rsidRPr="00F63362">
                    <w:rPr>
                      <w:rFonts w:ascii="Garamond" w:hAnsi="Garamond" w:cs="Times New Roman"/>
                    </w:rPr>
                    <w:t>mn (100%)</w:t>
                  </w:r>
                </w:p>
              </w:tc>
            </w:tr>
          </w:tbl>
          <w:p w14:paraId="7CC0CF33" w14:textId="77777777" w:rsidR="00112509" w:rsidRPr="00F63362" w:rsidRDefault="00112509" w:rsidP="00112509">
            <w:pPr>
              <w:rPr>
                <w:rFonts w:ascii="Garamond" w:hAnsi="Garamond" w:cs="Times New Roman"/>
              </w:rPr>
            </w:pPr>
          </w:p>
        </w:tc>
      </w:tr>
      <w:tr w:rsidR="000874BE" w:rsidRPr="00F63362" w14:paraId="1D0CA187" w14:textId="77777777" w:rsidTr="00B33EE5">
        <w:trPr>
          <w:trHeight w:val="313"/>
        </w:trPr>
        <w:tc>
          <w:tcPr>
            <w:tcW w:w="3595" w:type="dxa"/>
          </w:tcPr>
          <w:p w14:paraId="3FF3AA25" w14:textId="6666E8C8" w:rsidR="00112509" w:rsidRPr="00F63362" w:rsidRDefault="00112509" w:rsidP="00112509">
            <w:pPr>
              <w:rPr>
                <w:rFonts w:ascii="Garamond" w:hAnsi="Garamond" w:cs="Times New Roman"/>
              </w:rPr>
            </w:pPr>
            <w:r w:rsidRPr="00F63362">
              <w:rPr>
                <w:rFonts w:ascii="Garamond" w:hAnsi="Garamond" w:cs="Times New Roman"/>
              </w:rPr>
              <w:lastRenderedPageBreak/>
              <w:t>NAV Per Share</w:t>
            </w:r>
          </w:p>
        </w:tc>
        <w:tc>
          <w:tcPr>
            <w:tcW w:w="6197" w:type="dxa"/>
          </w:tcPr>
          <w:p w14:paraId="01D32A5B" w14:textId="04635A31" w:rsidR="00112509" w:rsidRPr="00F63362" w:rsidRDefault="00112509" w:rsidP="00112509">
            <w:pPr>
              <w:rPr>
                <w:rFonts w:ascii="Garamond" w:hAnsi="Garamond" w:cs="Times New Roman"/>
              </w:rPr>
            </w:pPr>
            <w:r w:rsidRPr="00F63362">
              <w:rPr>
                <w:rFonts w:ascii="Garamond" w:hAnsi="Garamond" w:cs="Times New Roman"/>
              </w:rPr>
              <w:t xml:space="preserve">Tk. </w:t>
            </w:r>
            <w:r w:rsidR="00C45C25" w:rsidRPr="00F63362">
              <w:rPr>
                <w:rFonts w:ascii="Garamond" w:hAnsi="Garamond" w:cs="Times New Roman"/>
              </w:rPr>
              <w:t>20.56 as on June 30, 2019</w:t>
            </w:r>
          </w:p>
        </w:tc>
      </w:tr>
      <w:tr w:rsidR="000874BE" w:rsidRPr="00F63362" w14:paraId="72BA4EE7" w14:textId="77777777" w:rsidTr="00B33EE5">
        <w:trPr>
          <w:trHeight w:val="313"/>
        </w:trPr>
        <w:tc>
          <w:tcPr>
            <w:tcW w:w="3595" w:type="dxa"/>
          </w:tcPr>
          <w:p w14:paraId="089D81EE" w14:textId="77777777" w:rsidR="00112509" w:rsidRPr="00F63362" w:rsidRDefault="00112509" w:rsidP="00112509">
            <w:pPr>
              <w:rPr>
                <w:rFonts w:ascii="Garamond" w:hAnsi="Garamond" w:cs="Times New Roman"/>
              </w:rPr>
            </w:pPr>
            <w:proofErr w:type="spellStart"/>
            <w:r w:rsidRPr="00F63362">
              <w:rPr>
                <w:rFonts w:ascii="Garamond" w:hAnsi="Garamond" w:cs="Times New Roman"/>
              </w:rPr>
              <w:t>Earning</w:t>
            </w:r>
            <w:proofErr w:type="spellEnd"/>
            <w:r w:rsidRPr="00F63362">
              <w:rPr>
                <w:rFonts w:ascii="Garamond" w:hAnsi="Garamond" w:cs="Times New Roman"/>
              </w:rPr>
              <w:t xml:space="preserve"> Per Share (EPS)</w:t>
            </w:r>
          </w:p>
        </w:tc>
        <w:tc>
          <w:tcPr>
            <w:tcW w:w="6197" w:type="dxa"/>
          </w:tcPr>
          <w:p w14:paraId="1D8E2F53" w14:textId="7ABB13A4" w:rsidR="00956988" w:rsidRPr="00F63362" w:rsidRDefault="00112509" w:rsidP="00112509">
            <w:pPr>
              <w:rPr>
                <w:rFonts w:ascii="Garamond" w:hAnsi="Garamond" w:cs="Times New Roman"/>
              </w:rPr>
            </w:pPr>
            <w:r w:rsidRPr="00F63362">
              <w:rPr>
                <w:rFonts w:ascii="Garamond" w:hAnsi="Garamond" w:cs="Times New Roman"/>
              </w:rPr>
              <w:t xml:space="preserve">Tk. </w:t>
            </w:r>
            <w:r w:rsidR="00C45C25" w:rsidRPr="00F63362">
              <w:rPr>
                <w:rFonts w:ascii="Garamond" w:hAnsi="Garamond" w:cs="Times New Roman"/>
              </w:rPr>
              <w:t>1.82 for the year ended June 30, 2019</w:t>
            </w:r>
          </w:p>
        </w:tc>
      </w:tr>
      <w:tr w:rsidR="000874BE" w:rsidRPr="00F63362" w14:paraId="4DCC5642" w14:textId="77777777" w:rsidTr="00B33EE5">
        <w:trPr>
          <w:trHeight w:val="313"/>
        </w:trPr>
        <w:tc>
          <w:tcPr>
            <w:tcW w:w="3595" w:type="dxa"/>
          </w:tcPr>
          <w:p w14:paraId="7071E642" w14:textId="77777777" w:rsidR="00112509" w:rsidRPr="00F63362" w:rsidRDefault="00112509" w:rsidP="00112509">
            <w:pPr>
              <w:rPr>
                <w:rFonts w:ascii="Garamond" w:hAnsi="Garamond" w:cs="Times New Roman"/>
              </w:rPr>
            </w:pPr>
            <w:r w:rsidRPr="00F63362">
              <w:rPr>
                <w:rFonts w:ascii="Garamond" w:hAnsi="Garamond" w:cs="Times New Roman"/>
              </w:rPr>
              <w:t>Dividend History</w:t>
            </w:r>
          </w:p>
        </w:tc>
        <w:tc>
          <w:tcPr>
            <w:tcW w:w="6197" w:type="dxa"/>
          </w:tcPr>
          <w:tbl>
            <w:tblPr>
              <w:tblStyle w:val="TableGrid"/>
              <w:tblW w:w="0" w:type="auto"/>
              <w:tblLook w:val="04A0" w:firstRow="1" w:lastRow="0" w:firstColumn="1" w:lastColumn="0" w:noHBand="0" w:noVBand="1"/>
            </w:tblPr>
            <w:tblGrid>
              <w:gridCol w:w="1134"/>
              <w:gridCol w:w="1210"/>
              <w:gridCol w:w="1209"/>
              <w:gridCol w:w="1209"/>
              <w:gridCol w:w="1209"/>
            </w:tblGrid>
            <w:tr w:rsidR="000874BE" w:rsidRPr="00F63362" w14:paraId="1C41BBC4" w14:textId="77777777" w:rsidTr="00F00D4A">
              <w:tc>
                <w:tcPr>
                  <w:tcW w:w="1322" w:type="dxa"/>
                </w:tcPr>
                <w:p w14:paraId="6E789B5E" w14:textId="200F2DD3" w:rsidR="00F00D4A" w:rsidRPr="00F63362" w:rsidRDefault="00F00D4A" w:rsidP="00112509">
                  <w:pPr>
                    <w:rPr>
                      <w:rFonts w:ascii="Garamond" w:hAnsi="Garamond" w:cs="Times New Roman"/>
                    </w:rPr>
                  </w:pPr>
                  <w:r w:rsidRPr="00F63362">
                    <w:rPr>
                      <w:rFonts w:ascii="Garamond" w:hAnsi="Garamond" w:cs="Times New Roman"/>
                    </w:rPr>
                    <w:t>Dividend</w:t>
                  </w:r>
                </w:p>
              </w:tc>
              <w:tc>
                <w:tcPr>
                  <w:tcW w:w="1322" w:type="dxa"/>
                </w:tcPr>
                <w:p w14:paraId="23ED608F" w14:textId="2CCCB649" w:rsidR="00F00D4A" w:rsidRPr="00F63362" w:rsidRDefault="00F00D4A" w:rsidP="00112509">
                  <w:pPr>
                    <w:rPr>
                      <w:rFonts w:ascii="Garamond" w:hAnsi="Garamond" w:cs="Times New Roman"/>
                    </w:rPr>
                  </w:pPr>
                  <w:r w:rsidRPr="00F63362">
                    <w:rPr>
                      <w:rFonts w:ascii="Garamond" w:hAnsi="Garamond" w:cs="Times New Roman"/>
                    </w:rPr>
                    <w:t>30.06.201</w:t>
                  </w:r>
                  <w:r w:rsidR="00C45C25" w:rsidRPr="00F63362">
                    <w:rPr>
                      <w:rFonts w:ascii="Garamond" w:hAnsi="Garamond" w:cs="Times New Roman"/>
                    </w:rPr>
                    <w:t>9</w:t>
                  </w:r>
                </w:p>
              </w:tc>
              <w:tc>
                <w:tcPr>
                  <w:tcW w:w="1322" w:type="dxa"/>
                </w:tcPr>
                <w:p w14:paraId="649E07B8" w14:textId="1294D174" w:rsidR="00F00D4A" w:rsidRPr="00F63362" w:rsidRDefault="00F00D4A" w:rsidP="00112509">
                  <w:pPr>
                    <w:rPr>
                      <w:rFonts w:ascii="Garamond" w:hAnsi="Garamond" w:cs="Times New Roman"/>
                    </w:rPr>
                  </w:pPr>
                  <w:r w:rsidRPr="00F63362">
                    <w:rPr>
                      <w:rFonts w:ascii="Garamond" w:hAnsi="Garamond" w:cs="Times New Roman"/>
                    </w:rPr>
                    <w:t>30.06.201</w:t>
                  </w:r>
                  <w:r w:rsidR="00C45C25" w:rsidRPr="00F63362">
                    <w:rPr>
                      <w:rFonts w:ascii="Garamond" w:hAnsi="Garamond" w:cs="Times New Roman"/>
                    </w:rPr>
                    <w:t>8</w:t>
                  </w:r>
                </w:p>
              </w:tc>
              <w:tc>
                <w:tcPr>
                  <w:tcW w:w="1322" w:type="dxa"/>
                </w:tcPr>
                <w:p w14:paraId="1D9AF969" w14:textId="4FD3DEE4" w:rsidR="00F00D4A" w:rsidRPr="00F63362" w:rsidRDefault="00F00D4A" w:rsidP="00112509">
                  <w:pPr>
                    <w:rPr>
                      <w:rFonts w:ascii="Garamond" w:hAnsi="Garamond" w:cs="Times New Roman"/>
                    </w:rPr>
                  </w:pPr>
                  <w:r w:rsidRPr="00F63362">
                    <w:rPr>
                      <w:rFonts w:ascii="Garamond" w:hAnsi="Garamond" w:cs="Times New Roman"/>
                    </w:rPr>
                    <w:t>30.06.201</w:t>
                  </w:r>
                  <w:r w:rsidR="00C45C25" w:rsidRPr="00F63362">
                    <w:rPr>
                      <w:rFonts w:ascii="Garamond" w:hAnsi="Garamond" w:cs="Times New Roman"/>
                    </w:rPr>
                    <w:t>7</w:t>
                  </w:r>
                </w:p>
              </w:tc>
              <w:tc>
                <w:tcPr>
                  <w:tcW w:w="1322" w:type="dxa"/>
                </w:tcPr>
                <w:p w14:paraId="5D5EE345" w14:textId="2F0F7F6F" w:rsidR="00F00D4A" w:rsidRPr="00F63362" w:rsidRDefault="00F00D4A" w:rsidP="00112509">
                  <w:pPr>
                    <w:rPr>
                      <w:rFonts w:ascii="Garamond" w:hAnsi="Garamond" w:cs="Times New Roman"/>
                    </w:rPr>
                  </w:pPr>
                  <w:r w:rsidRPr="00F63362">
                    <w:rPr>
                      <w:rFonts w:ascii="Garamond" w:hAnsi="Garamond" w:cs="Times New Roman"/>
                    </w:rPr>
                    <w:t>30.06.201</w:t>
                  </w:r>
                  <w:r w:rsidR="00C45C25" w:rsidRPr="00F63362">
                    <w:rPr>
                      <w:rFonts w:ascii="Garamond" w:hAnsi="Garamond" w:cs="Times New Roman"/>
                    </w:rPr>
                    <w:t>6</w:t>
                  </w:r>
                </w:p>
              </w:tc>
            </w:tr>
            <w:tr w:rsidR="000874BE" w:rsidRPr="00F63362" w14:paraId="38F240B9" w14:textId="77777777" w:rsidTr="00F00D4A">
              <w:tc>
                <w:tcPr>
                  <w:tcW w:w="1322" w:type="dxa"/>
                </w:tcPr>
                <w:p w14:paraId="20CCFEAF" w14:textId="6817EFE9" w:rsidR="00F00D4A" w:rsidRPr="00F63362" w:rsidRDefault="00F00D4A" w:rsidP="00112509">
                  <w:pPr>
                    <w:rPr>
                      <w:rFonts w:ascii="Garamond" w:hAnsi="Garamond" w:cs="Times New Roman"/>
                    </w:rPr>
                  </w:pPr>
                  <w:r w:rsidRPr="00F63362">
                    <w:rPr>
                      <w:rFonts w:ascii="Garamond" w:hAnsi="Garamond" w:cs="Times New Roman"/>
                    </w:rPr>
                    <w:t>Cash</w:t>
                  </w:r>
                </w:p>
              </w:tc>
              <w:tc>
                <w:tcPr>
                  <w:tcW w:w="1322" w:type="dxa"/>
                </w:tcPr>
                <w:p w14:paraId="7353470E" w14:textId="25B9C472" w:rsidR="00F00D4A" w:rsidRPr="00F63362" w:rsidRDefault="00C45C25" w:rsidP="00112509">
                  <w:pPr>
                    <w:rPr>
                      <w:rFonts w:ascii="Garamond" w:hAnsi="Garamond" w:cs="Times New Roman"/>
                    </w:rPr>
                  </w:pPr>
                  <w:r w:rsidRPr="00F63362">
                    <w:rPr>
                      <w:rFonts w:ascii="Garamond" w:hAnsi="Garamond" w:cs="Times New Roman"/>
                    </w:rPr>
                    <w:t>NIL</w:t>
                  </w:r>
                </w:p>
              </w:tc>
              <w:tc>
                <w:tcPr>
                  <w:tcW w:w="1322" w:type="dxa"/>
                </w:tcPr>
                <w:p w14:paraId="5CD9C8DD" w14:textId="672B7B69" w:rsidR="00F00D4A" w:rsidRPr="00F63362" w:rsidRDefault="00F00D4A" w:rsidP="00112509">
                  <w:pPr>
                    <w:rPr>
                      <w:rFonts w:ascii="Garamond" w:hAnsi="Garamond" w:cs="Times New Roman"/>
                    </w:rPr>
                  </w:pPr>
                  <w:r w:rsidRPr="00F63362">
                    <w:rPr>
                      <w:rFonts w:ascii="Garamond" w:hAnsi="Garamond" w:cs="Times New Roman"/>
                    </w:rPr>
                    <w:t>NIL</w:t>
                  </w:r>
                </w:p>
              </w:tc>
              <w:tc>
                <w:tcPr>
                  <w:tcW w:w="1322" w:type="dxa"/>
                </w:tcPr>
                <w:p w14:paraId="29FBABF7" w14:textId="663EAEF3" w:rsidR="00F00D4A" w:rsidRPr="00F63362" w:rsidRDefault="00C45C25" w:rsidP="00112509">
                  <w:pPr>
                    <w:rPr>
                      <w:rFonts w:ascii="Garamond" w:hAnsi="Garamond" w:cs="Times New Roman"/>
                    </w:rPr>
                  </w:pPr>
                  <w:r w:rsidRPr="00F63362">
                    <w:rPr>
                      <w:rFonts w:ascii="Garamond" w:hAnsi="Garamond" w:cs="Times New Roman"/>
                    </w:rPr>
                    <w:t>NIL</w:t>
                  </w:r>
                </w:p>
              </w:tc>
              <w:tc>
                <w:tcPr>
                  <w:tcW w:w="1322" w:type="dxa"/>
                </w:tcPr>
                <w:p w14:paraId="3700E8DD" w14:textId="40143BAF" w:rsidR="00F00D4A" w:rsidRPr="00F63362" w:rsidRDefault="00F00D4A" w:rsidP="00112509">
                  <w:pPr>
                    <w:rPr>
                      <w:rFonts w:ascii="Garamond" w:hAnsi="Garamond" w:cs="Times New Roman"/>
                    </w:rPr>
                  </w:pPr>
                  <w:r w:rsidRPr="00F63362">
                    <w:rPr>
                      <w:rFonts w:ascii="Garamond" w:hAnsi="Garamond" w:cs="Times New Roman"/>
                    </w:rPr>
                    <w:t>NIL</w:t>
                  </w:r>
                </w:p>
              </w:tc>
            </w:tr>
            <w:tr w:rsidR="000874BE" w:rsidRPr="00F63362" w14:paraId="38DB4C9B" w14:textId="77777777" w:rsidTr="00F00D4A">
              <w:tc>
                <w:tcPr>
                  <w:tcW w:w="1322" w:type="dxa"/>
                </w:tcPr>
                <w:p w14:paraId="40A9DC43" w14:textId="42EEEF00" w:rsidR="00F00D4A" w:rsidRPr="00F63362" w:rsidRDefault="00F00D4A" w:rsidP="00112509">
                  <w:pPr>
                    <w:rPr>
                      <w:rFonts w:ascii="Garamond" w:hAnsi="Garamond" w:cs="Times New Roman"/>
                    </w:rPr>
                  </w:pPr>
                  <w:r w:rsidRPr="00F63362">
                    <w:rPr>
                      <w:rFonts w:ascii="Garamond" w:hAnsi="Garamond" w:cs="Times New Roman"/>
                    </w:rPr>
                    <w:t>Stock</w:t>
                  </w:r>
                </w:p>
              </w:tc>
              <w:tc>
                <w:tcPr>
                  <w:tcW w:w="1322" w:type="dxa"/>
                </w:tcPr>
                <w:p w14:paraId="4F73D520" w14:textId="779EA312" w:rsidR="00F00D4A" w:rsidRPr="00F63362" w:rsidRDefault="00F00D4A" w:rsidP="00112509">
                  <w:pPr>
                    <w:rPr>
                      <w:rFonts w:ascii="Garamond" w:hAnsi="Garamond" w:cs="Times New Roman"/>
                    </w:rPr>
                  </w:pPr>
                  <w:r w:rsidRPr="00F63362">
                    <w:rPr>
                      <w:rFonts w:ascii="Garamond" w:hAnsi="Garamond" w:cs="Times New Roman"/>
                    </w:rPr>
                    <w:t>NIL</w:t>
                  </w:r>
                </w:p>
              </w:tc>
              <w:tc>
                <w:tcPr>
                  <w:tcW w:w="1322" w:type="dxa"/>
                </w:tcPr>
                <w:p w14:paraId="29C3FDD9" w14:textId="13BB895D" w:rsidR="00F00D4A" w:rsidRPr="00F63362" w:rsidRDefault="00C45C25" w:rsidP="00112509">
                  <w:pPr>
                    <w:rPr>
                      <w:rFonts w:ascii="Garamond" w:hAnsi="Garamond" w:cs="Times New Roman"/>
                    </w:rPr>
                  </w:pPr>
                  <w:r w:rsidRPr="00F63362">
                    <w:rPr>
                      <w:rFonts w:ascii="Garamond" w:hAnsi="Garamond" w:cs="Times New Roman"/>
                    </w:rPr>
                    <w:t>NIL</w:t>
                  </w:r>
                </w:p>
              </w:tc>
              <w:tc>
                <w:tcPr>
                  <w:tcW w:w="1322" w:type="dxa"/>
                </w:tcPr>
                <w:p w14:paraId="5EEE43C6" w14:textId="78A80F58" w:rsidR="00F00D4A" w:rsidRPr="00F63362" w:rsidRDefault="00C45C25" w:rsidP="00112509">
                  <w:pPr>
                    <w:rPr>
                      <w:rFonts w:ascii="Garamond" w:hAnsi="Garamond" w:cs="Times New Roman"/>
                    </w:rPr>
                  </w:pPr>
                  <w:r w:rsidRPr="00F63362">
                    <w:rPr>
                      <w:rFonts w:ascii="Garamond" w:hAnsi="Garamond" w:cs="Times New Roman"/>
                    </w:rPr>
                    <w:t>277.37%</w:t>
                  </w:r>
                </w:p>
              </w:tc>
              <w:tc>
                <w:tcPr>
                  <w:tcW w:w="1322" w:type="dxa"/>
                </w:tcPr>
                <w:p w14:paraId="75AAE9E1" w14:textId="13286F31" w:rsidR="00F00D4A" w:rsidRPr="00F63362" w:rsidRDefault="00C45C25" w:rsidP="00112509">
                  <w:pPr>
                    <w:rPr>
                      <w:rFonts w:ascii="Garamond" w:hAnsi="Garamond" w:cs="Times New Roman"/>
                    </w:rPr>
                  </w:pPr>
                  <w:r w:rsidRPr="00F63362">
                    <w:rPr>
                      <w:rFonts w:ascii="Garamond" w:hAnsi="Garamond" w:cs="Times New Roman"/>
                    </w:rPr>
                    <w:t>NIL</w:t>
                  </w:r>
                </w:p>
              </w:tc>
            </w:tr>
          </w:tbl>
          <w:p w14:paraId="5C9B5302" w14:textId="1C4639E9" w:rsidR="001A4B19" w:rsidRPr="00F63362" w:rsidRDefault="001A4B19" w:rsidP="00112509">
            <w:pPr>
              <w:rPr>
                <w:rFonts w:ascii="Garamond" w:hAnsi="Garamond" w:cs="Times New Roman"/>
              </w:rPr>
            </w:pPr>
          </w:p>
        </w:tc>
      </w:tr>
      <w:tr w:rsidR="000874BE" w:rsidRPr="00F63362" w14:paraId="30DB5EF4" w14:textId="77777777" w:rsidTr="00B33EE5">
        <w:trPr>
          <w:trHeight w:val="350"/>
        </w:trPr>
        <w:tc>
          <w:tcPr>
            <w:tcW w:w="3595" w:type="dxa"/>
          </w:tcPr>
          <w:p w14:paraId="3315F659" w14:textId="1F5493FB" w:rsidR="00112509" w:rsidRPr="00F63362" w:rsidRDefault="00112509" w:rsidP="00112509">
            <w:pPr>
              <w:rPr>
                <w:rFonts w:ascii="Garamond" w:hAnsi="Garamond" w:cs="Times New Roman"/>
              </w:rPr>
            </w:pPr>
            <w:r w:rsidRPr="00F63362">
              <w:rPr>
                <w:rFonts w:ascii="Garamond" w:hAnsi="Garamond" w:cs="Times New Roman"/>
              </w:rPr>
              <w:t>Issue Manager</w:t>
            </w:r>
            <w:r w:rsidR="005B76FD" w:rsidRPr="00F63362">
              <w:rPr>
                <w:rFonts w:ascii="Garamond" w:hAnsi="Garamond" w:cs="Times New Roman"/>
              </w:rPr>
              <w:t>s</w:t>
            </w:r>
          </w:p>
        </w:tc>
        <w:tc>
          <w:tcPr>
            <w:tcW w:w="6197" w:type="dxa"/>
          </w:tcPr>
          <w:p w14:paraId="6C987C09" w14:textId="67E27D31" w:rsidR="00112509" w:rsidRPr="00F63362" w:rsidRDefault="00C45C25" w:rsidP="00112509">
            <w:pPr>
              <w:rPr>
                <w:rFonts w:ascii="Garamond" w:hAnsi="Garamond" w:cs="Times New Roman"/>
              </w:rPr>
            </w:pPr>
            <w:r w:rsidRPr="00F63362">
              <w:rPr>
                <w:rFonts w:ascii="Garamond" w:hAnsi="Garamond" w:cs="Times New Roman"/>
              </w:rPr>
              <w:t>NRB Equity Management Limited</w:t>
            </w:r>
          </w:p>
        </w:tc>
      </w:tr>
      <w:tr w:rsidR="000874BE" w:rsidRPr="00F63362" w14:paraId="61887D79" w14:textId="77777777" w:rsidTr="00B33EE5">
        <w:trPr>
          <w:trHeight w:val="313"/>
        </w:trPr>
        <w:tc>
          <w:tcPr>
            <w:tcW w:w="3595" w:type="dxa"/>
          </w:tcPr>
          <w:p w14:paraId="6AD68FE1" w14:textId="77777777" w:rsidR="00112509" w:rsidRPr="00F63362" w:rsidRDefault="00112509" w:rsidP="00112509">
            <w:pPr>
              <w:rPr>
                <w:rFonts w:ascii="Garamond" w:hAnsi="Garamond" w:cs="Times New Roman"/>
              </w:rPr>
            </w:pPr>
            <w:r w:rsidRPr="00F63362">
              <w:rPr>
                <w:rFonts w:ascii="Garamond" w:hAnsi="Garamond" w:cs="Times New Roman"/>
              </w:rPr>
              <w:t>Auditor</w:t>
            </w:r>
          </w:p>
        </w:tc>
        <w:tc>
          <w:tcPr>
            <w:tcW w:w="6197" w:type="dxa"/>
          </w:tcPr>
          <w:p w14:paraId="445A9164" w14:textId="1E1BDA15" w:rsidR="00112509" w:rsidRPr="00F63362" w:rsidRDefault="00C45C25" w:rsidP="00602842">
            <w:pPr>
              <w:rPr>
                <w:rFonts w:ascii="Garamond" w:hAnsi="Garamond" w:cs="Times New Roman"/>
              </w:rPr>
            </w:pPr>
            <w:r w:rsidRPr="00F63362">
              <w:rPr>
                <w:rFonts w:ascii="Garamond" w:hAnsi="Garamond" w:cs="Times New Roman"/>
              </w:rPr>
              <w:t xml:space="preserve">Shiraz Khan </w:t>
            </w:r>
            <w:proofErr w:type="spellStart"/>
            <w:r w:rsidRPr="00F63362">
              <w:rPr>
                <w:rFonts w:ascii="Garamond" w:hAnsi="Garamond" w:cs="Times New Roman"/>
              </w:rPr>
              <w:t>Basak</w:t>
            </w:r>
            <w:proofErr w:type="spellEnd"/>
            <w:r w:rsidRPr="00F63362">
              <w:rPr>
                <w:rFonts w:ascii="Garamond" w:hAnsi="Garamond" w:cs="Times New Roman"/>
              </w:rPr>
              <w:t xml:space="preserve"> &amp; Co</w:t>
            </w:r>
          </w:p>
        </w:tc>
      </w:tr>
    </w:tbl>
    <w:p w14:paraId="38ADC1C3" w14:textId="77777777" w:rsidR="00A872DD" w:rsidRPr="00F63362" w:rsidRDefault="00A92F3F" w:rsidP="00BB69E8">
      <w:pPr>
        <w:rPr>
          <w:rFonts w:ascii="Garamond" w:hAnsi="Garamond" w:cs="Times New Roman"/>
        </w:rPr>
      </w:pPr>
    </w:p>
    <w:sectPr w:rsidR="00A872DD" w:rsidRPr="00F63362" w:rsidSect="00E669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9DEDE" w14:textId="77777777" w:rsidR="00A92F3F" w:rsidRDefault="00A92F3F" w:rsidP="00D06126">
      <w:pPr>
        <w:spacing w:after="0" w:line="240" w:lineRule="auto"/>
      </w:pPr>
      <w:r>
        <w:separator/>
      </w:r>
    </w:p>
  </w:endnote>
  <w:endnote w:type="continuationSeparator" w:id="0">
    <w:p w14:paraId="4F1BD3B4" w14:textId="77777777" w:rsidR="00A92F3F" w:rsidRDefault="00A92F3F" w:rsidP="00D0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3F73B" w14:textId="77777777" w:rsidR="00A92F3F" w:rsidRDefault="00A92F3F" w:rsidP="00D06126">
      <w:pPr>
        <w:spacing w:after="0" w:line="240" w:lineRule="auto"/>
      </w:pPr>
      <w:r>
        <w:separator/>
      </w:r>
    </w:p>
  </w:footnote>
  <w:footnote w:type="continuationSeparator" w:id="0">
    <w:p w14:paraId="3B9CFD23" w14:textId="77777777" w:rsidR="00A92F3F" w:rsidRDefault="00A92F3F" w:rsidP="00D06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6EDFD" w14:textId="3F5704D6" w:rsidR="00D06126" w:rsidRPr="0081334F" w:rsidRDefault="0081334F" w:rsidP="00D06126">
    <w:pPr>
      <w:pStyle w:val="Header"/>
      <w:jc w:val="center"/>
      <w:rPr>
        <w:b/>
        <w:bCs/>
      </w:rPr>
    </w:pPr>
    <w:proofErr w:type="spellStart"/>
    <w:r w:rsidRPr="0081334F">
      <w:rPr>
        <w:b/>
        <w:bCs/>
      </w:rPr>
      <w:t>eGENERATION</w:t>
    </w:r>
    <w:proofErr w:type="spellEnd"/>
    <w:r w:rsidRPr="0081334F">
      <w:rPr>
        <w:b/>
        <w:bCs/>
      </w:rPr>
      <w:t xml:space="preserve"> LIMITED</w:t>
    </w:r>
  </w:p>
  <w:p w14:paraId="3984F9E6" w14:textId="77777777" w:rsidR="00D06126" w:rsidRDefault="00D06126" w:rsidP="00D06126">
    <w:pPr>
      <w:pStyle w:val="Header"/>
      <w:jc w:val="center"/>
    </w:pPr>
    <w:r w:rsidRPr="0023480B">
      <w:rPr>
        <w:b/>
      </w:rPr>
      <w:t>(As per prospectus</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903AD"/>
    <w:multiLevelType w:val="hybridMultilevel"/>
    <w:tmpl w:val="82F8D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26"/>
    <w:rsid w:val="000059DF"/>
    <w:rsid w:val="00042ACF"/>
    <w:rsid w:val="00056E57"/>
    <w:rsid w:val="00066477"/>
    <w:rsid w:val="00074F45"/>
    <w:rsid w:val="00086961"/>
    <w:rsid w:val="000874BE"/>
    <w:rsid w:val="000C6008"/>
    <w:rsid w:val="000D0A03"/>
    <w:rsid w:val="000E1378"/>
    <w:rsid w:val="00112509"/>
    <w:rsid w:val="0019000D"/>
    <w:rsid w:val="00192E28"/>
    <w:rsid w:val="0019701D"/>
    <w:rsid w:val="001A4B19"/>
    <w:rsid w:val="001D2E39"/>
    <w:rsid w:val="0022574E"/>
    <w:rsid w:val="0023480B"/>
    <w:rsid w:val="00246398"/>
    <w:rsid w:val="00284F4D"/>
    <w:rsid w:val="0028673A"/>
    <w:rsid w:val="00295F0A"/>
    <w:rsid w:val="002A6471"/>
    <w:rsid w:val="002B0AD4"/>
    <w:rsid w:val="002B28F4"/>
    <w:rsid w:val="002B722E"/>
    <w:rsid w:val="002D4E47"/>
    <w:rsid w:val="002F1672"/>
    <w:rsid w:val="003047BC"/>
    <w:rsid w:val="003154CB"/>
    <w:rsid w:val="00385BAF"/>
    <w:rsid w:val="003906B8"/>
    <w:rsid w:val="003A37B3"/>
    <w:rsid w:val="003E187B"/>
    <w:rsid w:val="003E617C"/>
    <w:rsid w:val="003F4CCD"/>
    <w:rsid w:val="00405BDB"/>
    <w:rsid w:val="004372F7"/>
    <w:rsid w:val="00461DB0"/>
    <w:rsid w:val="004A22C6"/>
    <w:rsid w:val="004E0A66"/>
    <w:rsid w:val="004E436A"/>
    <w:rsid w:val="004F7E23"/>
    <w:rsid w:val="00540989"/>
    <w:rsid w:val="00565B10"/>
    <w:rsid w:val="005760E7"/>
    <w:rsid w:val="005B0C6C"/>
    <w:rsid w:val="005B5622"/>
    <w:rsid w:val="005B76FD"/>
    <w:rsid w:val="00602842"/>
    <w:rsid w:val="00612B4B"/>
    <w:rsid w:val="006249A8"/>
    <w:rsid w:val="00635FCE"/>
    <w:rsid w:val="00666F6C"/>
    <w:rsid w:val="00690EA8"/>
    <w:rsid w:val="006B59B1"/>
    <w:rsid w:val="006C07B8"/>
    <w:rsid w:val="006D406A"/>
    <w:rsid w:val="0070252C"/>
    <w:rsid w:val="0071635C"/>
    <w:rsid w:val="00733C6A"/>
    <w:rsid w:val="00741B7F"/>
    <w:rsid w:val="0079008F"/>
    <w:rsid w:val="007A694A"/>
    <w:rsid w:val="007C6139"/>
    <w:rsid w:val="007D0B1C"/>
    <w:rsid w:val="007F26F3"/>
    <w:rsid w:val="007F40D2"/>
    <w:rsid w:val="007F6D37"/>
    <w:rsid w:val="007F6E17"/>
    <w:rsid w:val="0081334F"/>
    <w:rsid w:val="00825E80"/>
    <w:rsid w:val="008578EF"/>
    <w:rsid w:val="0086141D"/>
    <w:rsid w:val="008645BB"/>
    <w:rsid w:val="008672B2"/>
    <w:rsid w:val="00883772"/>
    <w:rsid w:val="0089321A"/>
    <w:rsid w:val="008A2DBD"/>
    <w:rsid w:val="00921076"/>
    <w:rsid w:val="00951997"/>
    <w:rsid w:val="00956988"/>
    <w:rsid w:val="009B6927"/>
    <w:rsid w:val="00A07871"/>
    <w:rsid w:val="00A56A7D"/>
    <w:rsid w:val="00A639D1"/>
    <w:rsid w:val="00A92F3F"/>
    <w:rsid w:val="00A97561"/>
    <w:rsid w:val="00AA2610"/>
    <w:rsid w:val="00AA335E"/>
    <w:rsid w:val="00AB6BFE"/>
    <w:rsid w:val="00AD347E"/>
    <w:rsid w:val="00AE5C36"/>
    <w:rsid w:val="00AF027B"/>
    <w:rsid w:val="00B2064D"/>
    <w:rsid w:val="00B33EE5"/>
    <w:rsid w:val="00B3411C"/>
    <w:rsid w:val="00B36797"/>
    <w:rsid w:val="00BB69E8"/>
    <w:rsid w:val="00C00A11"/>
    <w:rsid w:val="00C0350C"/>
    <w:rsid w:val="00C06DA2"/>
    <w:rsid w:val="00C07C2C"/>
    <w:rsid w:val="00C45C25"/>
    <w:rsid w:val="00C5364E"/>
    <w:rsid w:val="00C542EA"/>
    <w:rsid w:val="00C94110"/>
    <w:rsid w:val="00CB0F62"/>
    <w:rsid w:val="00CD2521"/>
    <w:rsid w:val="00CF41C3"/>
    <w:rsid w:val="00D04BEB"/>
    <w:rsid w:val="00D06126"/>
    <w:rsid w:val="00D32CDB"/>
    <w:rsid w:val="00D42051"/>
    <w:rsid w:val="00D50AFB"/>
    <w:rsid w:val="00D70FF1"/>
    <w:rsid w:val="00D81D4B"/>
    <w:rsid w:val="00D81FC0"/>
    <w:rsid w:val="00DF7218"/>
    <w:rsid w:val="00E04BB4"/>
    <w:rsid w:val="00E66973"/>
    <w:rsid w:val="00E72115"/>
    <w:rsid w:val="00E853E7"/>
    <w:rsid w:val="00E9761E"/>
    <w:rsid w:val="00EB379E"/>
    <w:rsid w:val="00EC77BE"/>
    <w:rsid w:val="00EE5BDC"/>
    <w:rsid w:val="00F00D4A"/>
    <w:rsid w:val="00F158F3"/>
    <w:rsid w:val="00F63362"/>
    <w:rsid w:val="00F64CF0"/>
    <w:rsid w:val="00F733FD"/>
    <w:rsid w:val="00F80785"/>
    <w:rsid w:val="00FB45C7"/>
    <w:rsid w:val="00FC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09FD"/>
  <w15:docId w15:val="{E950A42F-BC89-4B17-BFCE-C80505CC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1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06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126"/>
  </w:style>
  <w:style w:type="paragraph" w:styleId="Footer">
    <w:name w:val="footer"/>
    <w:basedOn w:val="Normal"/>
    <w:link w:val="FooterChar"/>
    <w:uiPriority w:val="99"/>
    <w:unhideWhenUsed/>
    <w:rsid w:val="00D06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126"/>
  </w:style>
  <w:style w:type="paragraph" w:styleId="ListParagraph">
    <w:name w:val="List Paragraph"/>
    <w:basedOn w:val="Normal"/>
    <w:uiPriority w:val="34"/>
    <w:qFormat/>
    <w:rsid w:val="00612B4B"/>
    <w:pPr>
      <w:ind w:left="720"/>
      <w:contextualSpacing/>
    </w:pPr>
  </w:style>
  <w:style w:type="paragraph" w:styleId="BalloonText">
    <w:name w:val="Balloon Text"/>
    <w:basedOn w:val="Normal"/>
    <w:link w:val="BalloonTextChar"/>
    <w:uiPriority w:val="99"/>
    <w:semiHidden/>
    <w:unhideWhenUsed/>
    <w:rsid w:val="002F1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672"/>
    <w:rPr>
      <w:rFonts w:ascii="Segoe UI" w:hAnsi="Segoe UI" w:cs="Segoe UI"/>
      <w:sz w:val="18"/>
      <w:szCs w:val="18"/>
    </w:rPr>
  </w:style>
  <w:style w:type="character" w:styleId="Hyperlink">
    <w:name w:val="Hyperlink"/>
    <w:basedOn w:val="DefaultParagraphFont"/>
    <w:uiPriority w:val="99"/>
    <w:unhideWhenUsed/>
    <w:rsid w:val="00F733FD"/>
    <w:rPr>
      <w:color w:val="0000FF" w:themeColor="hyperlink"/>
      <w:u w:val="single"/>
    </w:rPr>
  </w:style>
  <w:style w:type="character" w:styleId="UnresolvedMention">
    <w:name w:val="Unresolved Mention"/>
    <w:basedOn w:val="DefaultParagraphFont"/>
    <w:uiPriority w:val="99"/>
    <w:semiHidden/>
    <w:unhideWhenUsed/>
    <w:rsid w:val="00F733FD"/>
    <w:rPr>
      <w:color w:val="605E5C"/>
      <w:shd w:val="clear" w:color="auto" w:fill="E1DFDD"/>
    </w:rPr>
  </w:style>
  <w:style w:type="table" w:styleId="GridTable1Light">
    <w:name w:val="Grid Table 1 Light"/>
    <w:basedOn w:val="TableNormal"/>
    <w:uiPriority w:val="46"/>
    <w:rsid w:val="00F158F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8464">
      <w:bodyDiv w:val="1"/>
      <w:marLeft w:val="0"/>
      <w:marRight w:val="0"/>
      <w:marTop w:val="0"/>
      <w:marBottom w:val="0"/>
      <w:divBdr>
        <w:top w:val="none" w:sz="0" w:space="0" w:color="auto"/>
        <w:left w:val="none" w:sz="0" w:space="0" w:color="auto"/>
        <w:bottom w:val="none" w:sz="0" w:space="0" w:color="auto"/>
        <w:right w:val="none" w:sz="0" w:space="0" w:color="auto"/>
      </w:divBdr>
      <w:divsChild>
        <w:div w:id="554395206">
          <w:marLeft w:val="0"/>
          <w:marRight w:val="0"/>
          <w:marTop w:val="0"/>
          <w:marBottom w:val="0"/>
          <w:divBdr>
            <w:top w:val="none" w:sz="0" w:space="0" w:color="auto"/>
            <w:left w:val="none" w:sz="0" w:space="0" w:color="auto"/>
            <w:bottom w:val="none" w:sz="0" w:space="0" w:color="auto"/>
            <w:right w:val="none" w:sz="0" w:space="0" w:color="auto"/>
          </w:divBdr>
        </w:div>
        <w:div w:id="654264211">
          <w:marLeft w:val="0"/>
          <w:marRight w:val="0"/>
          <w:marTop w:val="0"/>
          <w:marBottom w:val="0"/>
          <w:divBdr>
            <w:top w:val="none" w:sz="0" w:space="0" w:color="auto"/>
            <w:left w:val="none" w:sz="0" w:space="0" w:color="auto"/>
            <w:bottom w:val="none" w:sz="0" w:space="0" w:color="auto"/>
            <w:right w:val="none" w:sz="0" w:space="0" w:color="auto"/>
          </w:divBdr>
        </w:div>
        <w:div w:id="2069183161">
          <w:marLeft w:val="0"/>
          <w:marRight w:val="0"/>
          <w:marTop w:val="0"/>
          <w:marBottom w:val="0"/>
          <w:divBdr>
            <w:top w:val="none" w:sz="0" w:space="0" w:color="auto"/>
            <w:left w:val="none" w:sz="0" w:space="0" w:color="auto"/>
            <w:bottom w:val="none" w:sz="0" w:space="0" w:color="auto"/>
            <w:right w:val="none" w:sz="0" w:space="0" w:color="auto"/>
          </w:divBdr>
        </w:div>
        <w:div w:id="1681003254">
          <w:marLeft w:val="0"/>
          <w:marRight w:val="0"/>
          <w:marTop w:val="0"/>
          <w:marBottom w:val="0"/>
          <w:divBdr>
            <w:top w:val="none" w:sz="0" w:space="0" w:color="auto"/>
            <w:left w:val="none" w:sz="0" w:space="0" w:color="auto"/>
            <w:bottom w:val="none" w:sz="0" w:space="0" w:color="auto"/>
            <w:right w:val="none" w:sz="0" w:space="0" w:color="auto"/>
          </w:divBdr>
        </w:div>
      </w:divsChild>
    </w:div>
    <w:div w:id="315182993">
      <w:bodyDiv w:val="1"/>
      <w:marLeft w:val="0"/>
      <w:marRight w:val="0"/>
      <w:marTop w:val="0"/>
      <w:marBottom w:val="0"/>
      <w:divBdr>
        <w:top w:val="none" w:sz="0" w:space="0" w:color="auto"/>
        <w:left w:val="none" w:sz="0" w:space="0" w:color="auto"/>
        <w:bottom w:val="none" w:sz="0" w:space="0" w:color="auto"/>
        <w:right w:val="none" w:sz="0" w:space="0" w:color="auto"/>
      </w:divBdr>
      <w:divsChild>
        <w:div w:id="1665166611">
          <w:marLeft w:val="0"/>
          <w:marRight w:val="0"/>
          <w:marTop w:val="0"/>
          <w:marBottom w:val="0"/>
          <w:divBdr>
            <w:top w:val="none" w:sz="0" w:space="0" w:color="auto"/>
            <w:left w:val="none" w:sz="0" w:space="0" w:color="auto"/>
            <w:bottom w:val="none" w:sz="0" w:space="0" w:color="auto"/>
            <w:right w:val="none" w:sz="0" w:space="0" w:color="auto"/>
          </w:divBdr>
        </w:div>
        <w:div w:id="721904389">
          <w:marLeft w:val="0"/>
          <w:marRight w:val="0"/>
          <w:marTop w:val="0"/>
          <w:marBottom w:val="0"/>
          <w:divBdr>
            <w:top w:val="none" w:sz="0" w:space="0" w:color="auto"/>
            <w:left w:val="none" w:sz="0" w:space="0" w:color="auto"/>
            <w:bottom w:val="none" w:sz="0" w:space="0" w:color="auto"/>
            <w:right w:val="none" w:sz="0" w:space="0" w:color="auto"/>
          </w:divBdr>
        </w:div>
        <w:div w:id="1387341105">
          <w:marLeft w:val="0"/>
          <w:marRight w:val="0"/>
          <w:marTop w:val="0"/>
          <w:marBottom w:val="0"/>
          <w:divBdr>
            <w:top w:val="none" w:sz="0" w:space="0" w:color="auto"/>
            <w:left w:val="none" w:sz="0" w:space="0" w:color="auto"/>
            <w:bottom w:val="none" w:sz="0" w:space="0" w:color="auto"/>
            <w:right w:val="none" w:sz="0" w:space="0" w:color="auto"/>
          </w:divBdr>
        </w:div>
        <w:div w:id="1321621110">
          <w:marLeft w:val="0"/>
          <w:marRight w:val="0"/>
          <w:marTop w:val="0"/>
          <w:marBottom w:val="0"/>
          <w:divBdr>
            <w:top w:val="none" w:sz="0" w:space="0" w:color="auto"/>
            <w:left w:val="none" w:sz="0" w:space="0" w:color="auto"/>
            <w:bottom w:val="none" w:sz="0" w:space="0" w:color="auto"/>
            <w:right w:val="none" w:sz="0" w:space="0" w:color="auto"/>
          </w:divBdr>
        </w:div>
        <w:div w:id="50809486">
          <w:marLeft w:val="0"/>
          <w:marRight w:val="0"/>
          <w:marTop w:val="0"/>
          <w:marBottom w:val="0"/>
          <w:divBdr>
            <w:top w:val="none" w:sz="0" w:space="0" w:color="auto"/>
            <w:left w:val="none" w:sz="0" w:space="0" w:color="auto"/>
            <w:bottom w:val="none" w:sz="0" w:space="0" w:color="auto"/>
            <w:right w:val="none" w:sz="0" w:space="0" w:color="auto"/>
          </w:divBdr>
        </w:div>
        <w:div w:id="1245408261">
          <w:marLeft w:val="0"/>
          <w:marRight w:val="0"/>
          <w:marTop w:val="0"/>
          <w:marBottom w:val="0"/>
          <w:divBdr>
            <w:top w:val="none" w:sz="0" w:space="0" w:color="auto"/>
            <w:left w:val="none" w:sz="0" w:space="0" w:color="auto"/>
            <w:bottom w:val="none" w:sz="0" w:space="0" w:color="auto"/>
            <w:right w:val="none" w:sz="0" w:space="0" w:color="auto"/>
          </w:divBdr>
        </w:div>
      </w:divsChild>
    </w:div>
    <w:div w:id="375198108">
      <w:bodyDiv w:val="1"/>
      <w:marLeft w:val="0"/>
      <w:marRight w:val="0"/>
      <w:marTop w:val="0"/>
      <w:marBottom w:val="0"/>
      <w:divBdr>
        <w:top w:val="none" w:sz="0" w:space="0" w:color="auto"/>
        <w:left w:val="none" w:sz="0" w:space="0" w:color="auto"/>
        <w:bottom w:val="none" w:sz="0" w:space="0" w:color="auto"/>
        <w:right w:val="none" w:sz="0" w:space="0" w:color="auto"/>
      </w:divBdr>
      <w:divsChild>
        <w:div w:id="637497799">
          <w:marLeft w:val="0"/>
          <w:marRight w:val="0"/>
          <w:marTop w:val="0"/>
          <w:marBottom w:val="0"/>
          <w:divBdr>
            <w:top w:val="none" w:sz="0" w:space="0" w:color="auto"/>
            <w:left w:val="none" w:sz="0" w:space="0" w:color="auto"/>
            <w:bottom w:val="none" w:sz="0" w:space="0" w:color="auto"/>
            <w:right w:val="none" w:sz="0" w:space="0" w:color="auto"/>
          </w:divBdr>
        </w:div>
      </w:divsChild>
    </w:div>
    <w:div w:id="1919361952">
      <w:bodyDiv w:val="1"/>
      <w:marLeft w:val="0"/>
      <w:marRight w:val="0"/>
      <w:marTop w:val="0"/>
      <w:marBottom w:val="0"/>
      <w:divBdr>
        <w:top w:val="none" w:sz="0" w:space="0" w:color="auto"/>
        <w:left w:val="none" w:sz="0" w:space="0" w:color="auto"/>
        <w:bottom w:val="none" w:sz="0" w:space="0" w:color="auto"/>
        <w:right w:val="none" w:sz="0" w:space="0" w:color="auto"/>
      </w:divBdr>
      <w:divsChild>
        <w:div w:id="1427576850">
          <w:marLeft w:val="0"/>
          <w:marRight w:val="0"/>
          <w:marTop w:val="0"/>
          <w:marBottom w:val="0"/>
          <w:divBdr>
            <w:top w:val="none" w:sz="0" w:space="0" w:color="auto"/>
            <w:left w:val="none" w:sz="0" w:space="0" w:color="auto"/>
            <w:bottom w:val="none" w:sz="0" w:space="0" w:color="auto"/>
            <w:right w:val="none" w:sz="0" w:space="0" w:color="auto"/>
          </w:divBdr>
        </w:div>
        <w:div w:id="109250216">
          <w:marLeft w:val="0"/>
          <w:marRight w:val="0"/>
          <w:marTop w:val="0"/>
          <w:marBottom w:val="0"/>
          <w:divBdr>
            <w:top w:val="none" w:sz="0" w:space="0" w:color="auto"/>
            <w:left w:val="none" w:sz="0" w:space="0" w:color="auto"/>
            <w:bottom w:val="none" w:sz="0" w:space="0" w:color="auto"/>
            <w:right w:val="none" w:sz="0" w:space="0" w:color="auto"/>
          </w:divBdr>
        </w:div>
        <w:div w:id="1831408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Habib</dc:creator>
  <cp:lastModifiedBy>User</cp:lastModifiedBy>
  <cp:revision>4</cp:revision>
  <cp:lastPrinted>2019-11-06T04:51:00Z</cp:lastPrinted>
  <dcterms:created xsi:type="dcterms:W3CDTF">2021-01-26T11:05:00Z</dcterms:created>
  <dcterms:modified xsi:type="dcterms:W3CDTF">2021-01-27T05:50:00Z</dcterms:modified>
</cp:coreProperties>
</file>